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03F54" w14:textId="7321C1C0" w:rsidR="002D2294" w:rsidRDefault="000D2997" w:rsidP="00DF68B9">
      <w:pPr>
        <w:pStyle w:val="Heading1"/>
        <w:rPr>
          <w:lang w:val="en-US"/>
        </w:rPr>
      </w:pPr>
      <w:r>
        <w:rPr>
          <w:lang w:val="en-US"/>
        </w:rPr>
        <w:t>IMHA two</w:t>
      </w:r>
      <w:r w:rsidR="003F2658">
        <w:rPr>
          <w:lang w:val="en-US"/>
        </w:rPr>
        <w:t>-</w:t>
      </w:r>
      <w:r>
        <w:rPr>
          <w:lang w:val="en-US"/>
        </w:rPr>
        <w:t xml:space="preserve">year report </w:t>
      </w:r>
    </w:p>
    <w:p w14:paraId="194C536A" w14:textId="59AECE64" w:rsidR="000D2997" w:rsidRDefault="000D2997" w:rsidP="00DF68B9">
      <w:pPr>
        <w:pStyle w:val="Heading2"/>
        <w:rPr>
          <w:lang w:val="en-US"/>
        </w:rPr>
      </w:pPr>
      <w:r>
        <w:rPr>
          <w:lang w:val="en-US"/>
        </w:rPr>
        <w:t xml:space="preserve">Purpose </w:t>
      </w:r>
    </w:p>
    <w:p w14:paraId="418BB0CF" w14:textId="77777777" w:rsidR="000D2997" w:rsidRPr="00364CCB" w:rsidRDefault="000D2997" w:rsidP="00DF68B9">
      <w:pPr>
        <w:jc w:val="left"/>
      </w:pPr>
      <w:r w:rsidRPr="00A27B2C">
        <w:t>On 31 August</w:t>
      </w:r>
      <w:r>
        <w:t xml:space="preserve"> 2017</w:t>
      </w:r>
      <w:r w:rsidRPr="00A27B2C">
        <w:t xml:space="preserve"> </w:t>
      </w:r>
      <w:hyperlink r:id="rId11" w:history="1">
        <w:r w:rsidRPr="00466119">
          <w:rPr>
            <w:rStyle w:val="Hyperlink"/>
            <w:rFonts w:cs="Arial"/>
          </w:rPr>
          <w:t>IMHA</w:t>
        </w:r>
      </w:hyperlink>
      <w:r>
        <w:t xml:space="preserve"> turned two. The following is a summary of the service’s achievements, reflections and examples demonstrating individual and systemic advocacy work.</w:t>
      </w:r>
    </w:p>
    <w:p w14:paraId="0C5F11AF" w14:textId="2BCBC3A4" w:rsidR="002D2294" w:rsidRDefault="000D2997" w:rsidP="00DF68B9">
      <w:pPr>
        <w:pStyle w:val="Heading3"/>
      </w:pPr>
      <w:r>
        <w:t xml:space="preserve">Achievements </w:t>
      </w:r>
    </w:p>
    <w:p w14:paraId="6463CB4C" w14:textId="77777777" w:rsidR="000D2997" w:rsidRDefault="000D2997" w:rsidP="00DF68B9">
      <w:pPr>
        <w:spacing w:line="300" w:lineRule="atLeast"/>
        <w:jc w:val="left"/>
        <w:rPr>
          <w:rFonts w:cs="Arial"/>
        </w:rPr>
      </w:pPr>
      <w:r>
        <w:rPr>
          <w:rFonts w:cs="Arial"/>
        </w:rPr>
        <w:t xml:space="preserve">In its second year of operation IMHA focussed on consolidating and embedding the work done during </w:t>
      </w:r>
      <w:hyperlink r:id="rId12" w:history="1">
        <w:r w:rsidRPr="00640A39">
          <w:rPr>
            <w:rStyle w:val="Hyperlink"/>
            <w:rFonts w:cs="Arial"/>
          </w:rPr>
          <w:t>year one</w:t>
        </w:r>
      </w:hyperlink>
      <w:r>
        <w:rPr>
          <w:rFonts w:cs="Arial"/>
        </w:rPr>
        <w:t>. This has included continuing to provide services to consumers via a phone line staffed by advocates and delivering services in inpatient units across the state; building on relationships already established with designated mental health services, mental health support services, consumer led organisations, Office of the Public Advocate, Mental Health Complaints Commissioner and other services; promoting the service; and providing education regarding supported decision making by trialling a train-the-trainer model with Monash Health.</w:t>
      </w:r>
    </w:p>
    <w:p w14:paraId="637B14E0" w14:textId="77777777" w:rsidR="000D2997" w:rsidRDefault="000D2997" w:rsidP="00DF68B9">
      <w:pPr>
        <w:spacing w:line="300" w:lineRule="atLeast"/>
        <w:jc w:val="left"/>
        <w:rPr>
          <w:rFonts w:cs="Arial"/>
        </w:rPr>
      </w:pPr>
      <w:r>
        <w:rPr>
          <w:rFonts w:cs="Arial"/>
          <w:noProof/>
          <w:lang w:eastAsia="en-AU"/>
        </w:rPr>
        <mc:AlternateContent>
          <mc:Choice Requires="wpi">
            <w:drawing>
              <wp:anchor distT="0" distB="0" distL="114300" distR="114300" simplePos="0" relativeHeight="251661312" behindDoc="0" locked="0" layoutInCell="1" allowOverlap="1" wp14:anchorId="316494C6" wp14:editId="7AAC32D6">
                <wp:simplePos x="0" y="0"/>
                <wp:positionH relativeFrom="column">
                  <wp:posOffset>3225580</wp:posOffset>
                </wp:positionH>
                <wp:positionV relativeFrom="paragraph">
                  <wp:posOffset>831145</wp:posOffset>
                </wp:positionV>
                <wp:extent cx="19200" cy="12960"/>
                <wp:effectExtent l="38100" t="38100" r="38100" b="44450"/>
                <wp:wrapNone/>
                <wp:docPr id="5" name="Ink 5"/>
                <wp:cNvGraphicFramePr/>
                <a:graphic xmlns:a="http://schemas.openxmlformats.org/drawingml/2006/main">
                  <a:graphicData uri="http://schemas.microsoft.com/office/word/2010/wordprocessingInk">
                    <w14:contentPart bwMode="auto" r:id="rId13">
                      <w14:nvContentPartPr>
                        <w14:cNvContentPartPr/>
                      </w14:nvContentPartPr>
                      <w14:xfrm>
                        <a:off x="0" y="0"/>
                        <a:ext cx="19200" cy="12960"/>
                      </w14:xfrm>
                    </w14:contentPart>
                  </a:graphicData>
                </a:graphic>
              </wp:anchor>
            </w:drawing>
          </mc:Choice>
          <mc:Fallback>
            <w:pict>
              <v:shapetype w14:anchorId="6F471E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53.5pt;margin-top:64.95pt;width:2.4pt;height:1.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">
                <v:imagedata r:id="rId14" o:title=""/>
              </v:shape>
            </w:pict>
          </mc:Fallback>
        </mc:AlternateContent>
      </w:r>
      <w:r>
        <w:rPr>
          <w:rFonts w:cs="Arial"/>
          <w:noProof/>
          <w:lang w:eastAsia="en-AU"/>
        </w:rPr>
        <mc:AlternateContent>
          <mc:Choice Requires="wpi">
            <w:drawing>
              <wp:anchor distT="0" distB="0" distL="114300" distR="114300" simplePos="0" relativeHeight="251660288" behindDoc="0" locked="0" layoutInCell="1" allowOverlap="1" wp14:anchorId="3B2743D0" wp14:editId="6C615701">
                <wp:simplePos x="0" y="0"/>
                <wp:positionH relativeFrom="column">
                  <wp:posOffset>3079660</wp:posOffset>
                </wp:positionH>
                <wp:positionV relativeFrom="paragraph">
                  <wp:posOffset>919945</wp:posOffset>
                </wp:positionV>
                <wp:extent cx="12960" cy="19200"/>
                <wp:effectExtent l="38100" t="38100" r="44450" b="38100"/>
                <wp:wrapNone/>
                <wp:docPr id="1" name="Ink 1"/>
                <wp:cNvGraphicFramePr/>
                <a:graphic xmlns:a="http://schemas.openxmlformats.org/drawingml/2006/main">
                  <a:graphicData uri="http://schemas.microsoft.com/office/word/2010/wordprocessingInk">
                    <w14:contentPart bwMode="auto" r:id="rId15">
                      <w14:nvContentPartPr>
                        <w14:cNvContentPartPr/>
                      </w14:nvContentPartPr>
                      <w14:xfrm>
                        <a:off x="0" y="0"/>
                        <a:ext cx="12960" cy="19200"/>
                      </w14:xfrm>
                    </w14:contentPart>
                  </a:graphicData>
                </a:graphic>
              </wp:anchor>
            </w:drawing>
          </mc:Choice>
          <mc:Fallback>
            <w:pict>
              <v:shape w14:anchorId="452D7052" id="Ink 1" o:spid="_x0000_s1026" type="#_x0000_t75" style="position:absolute;margin-left:242pt;margin-top:71.95pt;width:1.95pt;height:2.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">
                <v:imagedata r:id="rId16" o:title=""/>
              </v:shape>
            </w:pict>
          </mc:Fallback>
        </mc:AlternateContent>
      </w:r>
      <w:r>
        <w:rPr>
          <w:rFonts w:cs="Arial"/>
          <w:noProof/>
          <w:lang w:eastAsia="en-AU"/>
        </w:rPr>
        <mc:AlternateContent>
          <mc:Choice Requires="wpi">
            <w:drawing>
              <wp:anchor distT="0" distB="0" distL="114300" distR="114300" simplePos="0" relativeHeight="251659264" behindDoc="0" locked="0" layoutInCell="1" allowOverlap="1" wp14:anchorId="6D53B666" wp14:editId="3F895CC4">
                <wp:simplePos x="0" y="0"/>
                <wp:positionH relativeFrom="column">
                  <wp:posOffset>2958940</wp:posOffset>
                </wp:positionH>
                <wp:positionV relativeFrom="paragraph">
                  <wp:posOffset>881785</wp:posOffset>
                </wp:positionV>
                <wp:extent cx="19200" cy="19200"/>
                <wp:effectExtent l="38100" t="38100" r="38100" b="38100"/>
                <wp:wrapNone/>
                <wp:docPr id="3" name="Ink 3"/>
                <wp:cNvGraphicFramePr/>
                <a:graphic xmlns:a="http://schemas.openxmlformats.org/drawingml/2006/main">
                  <a:graphicData uri="http://schemas.microsoft.com/office/word/2010/wordprocessingInk">
                    <w14:contentPart bwMode="auto" r:id="rId17">
                      <w14:nvContentPartPr>
                        <w14:cNvContentPartPr/>
                      </w14:nvContentPartPr>
                      <w14:xfrm>
                        <a:off x="0" y="0"/>
                        <a:ext cx="19200" cy="19200"/>
                      </w14:xfrm>
                    </w14:contentPart>
                  </a:graphicData>
                </a:graphic>
              </wp:anchor>
            </w:drawing>
          </mc:Choice>
          <mc:Fallback>
            <w:pict>
              <v:shape w14:anchorId="4E30F0E4" id="Ink 3" o:spid="_x0000_s1026" type="#_x0000_t75" style="position:absolute;margin-left:232.5pt;margin-top:68.95pt;width:2.4pt;height:2.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">
                <v:imagedata r:id="rId18" o:title=""/>
              </v:shape>
            </w:pict>
          </mc:Fallback>
        </mc:AlternateContent>
      </w:r>
      <w:r>
        <w:rPr>
          <w:rFonts w:cs="Arial"/>
        </w:rPr>
        <w:t xml:space="preserve">Building on the success of its first year, IMHA has continued to co-produce consumer information with an external consumer consultant and our consumer advisory group Speaking From Experience (SFE), including </w:t>
      </w:r>
      <w:hyperlink r:id="rId19" w:history="1">
        <w:r w:rsidRPr="00BA2D57">
          <w:rPr>
            <w:rStyle w:val="Hyperlink"/>
            <w:rFonts w:cs="Arial"/>
          </w:rPr>
          <w:t>Advance Statement</w:t>
        </w:r>
      </w:hyperlink>
      <w:r>
        <w:rPr>
          <w:rFonts w:cs="Arial"/>
        </w:rPr>
        <w:t xml:space="preserve"> and </w:t>
      </w:r>
      <w:hyperlink r:id="rId20" w:history="1">
        <w:r w:rsidRPr="00BA2D57">
          <w:rPr>
            <w:rStyle w:val="Hyperlink"/>
            <w:rFonts w:cs="Arial"/>
          </w:rPr>
          <w:t>Nominated Persons</w:t>
        </w:r>
      </w:hyperlink>
      <w:r>
        <w:rPr>
          <w:rFonts w:cs="Arial"/>
        </w:rPr>
        <w:t xml:space="preserve"> Guides and Templates.  IMHA staff across the state are also involved in a range of systemic advocacy activities including raising awareness about practices and trends within services with the Department of Health and Human Services; attendance at consumer advisory groups; delivering training to support capacity building across the mental health system; participation in committees and advisory groups; contributing to Victoria Legal Aid policy and law reform submissions; and research. </w:t>
      </w:r>
    </w:p>
    <w:p w14:paraId="03DCAF4B" w14:textId="77777777" w:rsidR="000D2997" w:rsidRDefault="000D2997" w:rsidP="00DF68B9">
      <w:pPr>
        <w:spacing w:line="300" w:lineRule="atLeast"/>
        <w:jc w:val="left"/>
        <w:rPr>
          <w:rFonts w:cs="Arial"/>
        </w:rPr>
      </w:pPr>
      <w:r>
        <w:rPr>
          <w:rFonts w:cs="Arial"/>
          <w:noProof/>
          <w:lang w:eastAsia="en-AU"/>
        </w:rPr>
        <mc:AlternateContent>
          <mc:Choice Requires="wpi">
            <w:drawing>
              <wp:anchor distT="0" distB="0" distL="114300" distR="114300" simplePos="0" relativeHeight="251662336" behindDoc="0" locked="0" layoutInCell="1" allowOverlap="1" wp14:anchorId="13B8B2D5" wp14:editId="2FB150E0">
                <wp:simplePos x="0" y="0"/>
                <wp:positionH relativeFrom="column">
                  <wp:posOffset>920620</wp:posOffset>
                </wp:positionH>
                <wp:positionV relativeFrom="paragraph">
                  <wp:posOffset>469105</wp:posOffset>
                </wp:positionV>
                <wp:extent cx="19200" cy="6480"/>
                <wp:effectExtent l="38100" t="38100" r="38100" b="31750"/>
                <wp:wrapNone/>
                <wp:docPr id="26" name="Ink 26"/>
                <wp:cNvGraphicFramePr/>
                <a:graphic xmlns:a="http://schemas.openxmlformats.org/drawingml/2006/main">
                  <a:graphicData uri="http://schemas.microsoft.com/office/word/2010/wordprocessingInk">
                    <w14:contentPart bwMode="auto" r:id="rId21">
                      <w14:nvContentPartPr>
                        <w14:cNvContentPartPr/>
                      </w14:nvContentPartPr>
                      <w14:xfrm>
                        <a:off x="0" y="0"/>
                        <a:ext cx="19200" cy="6480"/>
                      </w14:xfrm>
                    </w14:contentPart>
                  </a:graphicData>
                </a:graphic>
              </wp:anchor>
            </w:drawing>
          </mc:Choice>
          <mc:Fallback>
            <w:pict>
              <v:shape w14:anchorId="140BA4AA" id="Ink 26" o:spid="_x0000_s1026" type="#_x0000_t75" style="position:absolute;margin-left:71.95pt;margin-top:36.35pt;width:2.55pt;height:1.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">
                <v:imagedata r:id="rId22" o:title=""/>
              </v:shape>
            </w:pict>
          </mc:Fallback>
        </mc:AlternateContent>
      </w:r>
      <w:r>
        <w:rPr>
          <w:rFonts w:cs="Arial"/>
        </w:rPr>
        <w:t>In January 2017 IMHA introduced a consumer survey provided to all consumers we work with and accessible on the website, measuring consumer satisfaction and impact. 41 consumer surveys were returned to IMHA from January to December 2017.</w:t>
      </w:r>
    </w:p>
    <w:p w14:paraId="443D8286" w14:textId="77777777" w:rsidR="000D2997" w:rsidRPr="000C5280" w:rsidRDefault="000D2997" w:rsidP="00DF68B9">
      <w:pPr>
        <w:spacing w:after="0"/>
        <w:jc w:val="left"/>
        <w:rPr>
          <w:rFonts w:eastAsia="Times New Roman" w:cs="Arial"/>
          <w:lang w:eastAsia="en-AU"/>
        </w:rPr>
      </w:pPr>
      <w:r w:rsidRPr="000C5280">
        <w:rPr>
          <w:rFonts w:eastAsia="Times New Roman" w:cs="Arial"/>
          <w:lang w:eastAsia="en-AU"/>
        </w:rPr>
        <w:t xml:space="preserve">Most consumers </w:t>
      </w:r>
      <w:r>
        <w:rPr>
          <w:rFonts w:eastAsia="Times New Roman" w:cs="Arial"/>
          <w:lang w:eastAsia="en-AU"/>
        </w:rPr>
        <w:t>reported that t</w:t>
      </w:r>
      <w:r w:rsidRPr="000C5280">
        <w:rPr>
          <w:rFonts w:eastAsia="Times New Roman" w:cs="Arial"/>
          <w:lang w:eastAsia="en-AU"/>
        </w:rPr>
        <w:t xml:space="preserve">hey strongly agreed that: </w:t>
      </w:r>
    </w:p>
    <w:p w14:paraId="06C523F4" w14:textId="77777777" w:rsidR="000D2997" w:rsidRPr="000C5280" w:rsidRDefault="000D2997" w:rsidP="004E007C">
      <w:pPr>
        <w:numPr>
          <w:ilvl w:val="0"/>
          <w:numId w:val="11"/>
        </w:numPr>
        <w:spacing w:before="100" w:beforeAutospacing="1" w:after="100" w:afterAutospacing="1"/>
        <w:jc w:val="left"/>
        <w:rPr>
          <w:rFonts w:eastAsia="Times New Roman" w:cs="Arial"/>
          <w:lang w:eastAsia="en-AU"/>
        </w:rPr>
      </w:pPr>
      <w:r w:rsidRPr="000C5280">
        <w:rPr>
          <w:rFonts w:eastAsia="Times New Roman" w:cs="Arial"/>
          <w:lang w:eastAsia="en-AU"/>
        </w:rPr>
        <w:t>their IMHA advocate had listened to them, treated them with respect and supported them to communicate their views</w:t>
      </w:r>
      <w:r>
        <w:rPr>
          <w:rFonts w:eastAsia="Times New Roman" w:cs="Arial"/>
          <w:lang w:eastAsia="en-AU"/>
        </w:rPr>
        <w:t xml:space="preserve"> </w:t>
      </w:r>
      <w:r w:rsidRPr="000C5280">
        <w:rPr>
          <w:rFonts w:eastAsia="Times New Roman" w:cs="Arial"/>
          <w:lang w:eastAsia="en-AU"/>
        </w:rPr>
        <w:t>and preferences.</w:t>
      </w:r>
    </w:p>
    <w:p w14:paraId="5400EFE0" w14:textId="77777777" w:rsidR="000D2997" w:rsidRPr="000C5280" w:rsidRDefault="000D2997" w:rsidP="004E007C">
      <w:pPr>
        <w:numPr>
          <w:ilvl w:val="0"/>
          <w:numId w:val="11"/>
        </w:numPr>
        <w:spacing w:before="100" w:beforeAutospacing="1" w:after="100" w:afterAutospacing="1"/>
        <w:jc w:val="left"/>
        <w:rPr>
          <w:rFonts w:eastAsia="Times New Roman" w:cs="Arial"/>
          <w:lang w:eastAsia="en-AU"/>
        </w:rPr>
      </w:pPr>
      <w:r w:rsidRPr="000C5280">
        <w:rPr>
          <w:rFonts w:eastAsia="Times New Roman" w:cs="Arial"/>
          <w:lang w:eastAsia="en-AU"/>
        </w:rPr>
        <w:t>their IMHA advocate effectively communicated with the treating team about their views and preferences, provided helpful information and linked them with helpful services</w:t>
      </w:r>
      <w:r>
        <w:rPr>
          <w:rFonts w:eastAsia="Times New Roman" w:cs="Arial"/>
          <w:lang w:eastAsia="en-AU"/>
        </w:rPr>
        <w:t>.</w:t>
      </w:r>
    </w:p>
    <w:p w14:paraId="42FF52F8" w14:textId="77777777" w:rsidR="000D2997" w:rsidRPr="00892801" w:rsidRDefault="000D2997" w:rsidP="004E007C">
      <w:pPr>
        <w:pStyle w:val="ListParagraph"/>
        <w:numPr>
          <w:ilvl w:val="0"/>
          <w:numId w:val="11"/>
        </w:numPr>
        <w:spacing w:after="0" w:line="300" w:lineRule="atLeast"/>
        <w:contextualSpacing w:val="0"/>
        <w:jc w:val="left"/>
        <w:rPr>
          <w:rFonts w:cs="Arial"/>
        </w:rPr>
      </w:pPr>
      <w:r>
        <w:rPr>
          <w:rFonts w:eastAsia="Times New Roman" w:cs="Arial"/>
          <w:noProof/>
          <w:lang w:eastAsia="en-AU"/>
        </w:rPr>
        <mc:AlternateContent>
          <mc:Choice Requires="wpi">
            <w:drawing>
              <wp:anchor distT="0" distB="0" distL="114300" distR="114300" simplePos="0" relativeHeight="251669504" behindDoc="0" locked="0" layoutInCell="1" allowOverlap="1" wp14:anchorId="40785D65" wp14:editId="64A3B21F">
                <wp:simplePos x="0" y="0"/>
                <wp:positionH relativeFrom="column">
                  <wp:posOffset>1993900</wp:posOffset>
                </wp:positionH>
                <wp:positionV relativeFrom="paragraph">
                  <wp:posOffset>319315</wp:posOffset>
                </wp:positionV>
                <wp:extent cx="6480" cy="12960"/>
                <wp:effectExtent l="38100" t="38100" r="31750" b="44450"/>
                <wp:wrapNone/>
                <wp:docPr id="33" name="Ink 33"/>
                <wp:cNvGraphicFramePr/>
                <a:graphic xmlns:a="http://schemas.openxmlformats.org/drawingml/2006/main">
                  <a:graphicData uri="http://schemas.microsoft.com/office/word/2010/wordprocessingInk">
                    <w14:contentPart bwMode="auto" r:id="rId23">
                      <w14:nvContentPartPr>
                        <w14:cNvContentPartPr/>
                      </w14:nvContentPartPr>
                      <w14:xfrm>
                        <a:off x="0" y="0"/>
                        <a:ext cx="6480" cy="12960"/>
                      </w14:xfrm>
                    </w14:contentPart>
                  </a:graphicData>
                </a:graphic>
              </wp:anchor>
            </w:drawing>
          </mc:Choice>
          <mc:Fallback>
            <w:pict>
              <v:shape w14:anchorId="36390DD6" id="Ink 33" o:spid="_x0000_s1026" type="#_x0000_t75" style="position:absolute;margin-left:156.7pt;margin-top:24.85pt;width:1.1pt;height:1.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">
                <v:imagedata r:id="rId24" o:title=""/>
              </v:shape>
            </w:pict>
          </mc:Fallback>
        </mc:AlternateContent>
      </w:r>
      <w:r>
        <w:rPr>
          <w:rFonts w:eastAsia="Times New Roman" w:cs="Arial"/>
          <w:noProof/>
          <w:lang w:eastAsia="en-AU"/>
        </w:rPr>
        <mc:AlternateContent>
          <mc:Choice Requires="wpi">
            <w:drawing>
              <wp:anchor distT="0" distB="0" distL="114300" distR="114300" simplePos="0" relativeHeight="251668480" behindDoc="0" locked="0" layoutInCell="1" allowOverlap="1" wp14:anchorId="76F54592" wp14:editId="3A7AEAF9">
                <wp:simplePos x="0" y="0"/>
                <wp:positionH relativeFrom="column">
                  <wp:posOffset>1873180</wp:posOffset>
                </wp:positionH>
                <wp:positionV relativeFrom="paragraph">
                  <wp:posOffset>325555</wp:posOffset>
                </wp:positionV>
                <wp:extent cx="44640" cy="6480"/>
                <wp:effectExtent l="38100" t="38100" r="31750" b="31750"/>
                <wp:wrapNone/>
                <wp:docPr id="32" name="Ink 32"/>
                <wp:cNvGraphicFramePr/>
                <a:graphic xmlns:a="http://schemas.openxmlformats.org/drawingml/2006/main">
                  <a:graphicData uri="http://schemas.microsoft.com/office/word/2010/wordprocessingInk">
                    <w14:contentPart bwMode="auto" r:id="rId25">
                      <w14:nvContentPartPr>
                        <w14:cNvContentPartPr/>
                      </w14:nvContentPartPr>
                      <w14:xfrm>
                        <a:off x="0" y="0"/>
                        <a:ext cx="44640" cy="6480"/>
                      </w14:xfrm>
                    </w14:contentPart>
                  </a:graphicData>
                </a:graphic>
              </wp:anchor>
            </w:drawing>
          </mc:Choice>
          <mc:Fallback>
            <w:pict>
              <v:shape w14:anchorId="07CA3049" id="Ink 32" o:spid="_x0000_s1026" type="#_x0000_t75" style="position:absolute;margin-left:147pt;margin-top:25.15pt;width:4.45pt;height:1.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">
                <v:imagedata r:id="rId26" o:title=""/>
              </v:shape>
            </w:pict>
          </mc:Fallback>
        </mc:AlternateContent>
      </w:r>
      <w:r>
        <w:rPr>
          <w:rFonts w:eastAsia="Times New Roman" w:cs="Arial"/>
          <w:noProof/>
          <w:lang w:eastAsia="en-AU"/>
        </w:rPr>
        <mc:AlternateContent>
          <mc:Choice Requires="wpi">
            <w:drawing>
              <wp:anchor distT="0" distB="0" distL="114300" distR="114300" simplePos="0" relativeHeight="251667456" behindDoc="0" locked="0" layoutInCell="1" allowOverlap="1" wp14:anchorId="189532E4" wp14:editId="2ECE25E7">
                <wp:simplePos x="0" y="0"/>
                <wp:positionH relativeFrom="column">
                  <wp:posOffset>1917580</wp:posOffset>
                </wp:positionH>
                <wp:positionV relativeFrom="paragraph">
                  <wp:posOffset>312835</wp:posOffset>
                </wp:positionV>
                <wp:extent cx="6480" cy="25680"/>
                <wp:effectExtent l="38100" t="38100" r="31750" b="31750"/>
                <wp:wrapNone/>
                <wp:docPr id="31" name="Ink 31"/>
                <wp:cNvGraphicFramePr/>
                <a:graphic xmlns:a="http://schemas.openxmlformats.org/drawingml/2006/main">
                  <a:graphicData uri="http://schemas.microsoft.com/office/word/2010/wordprocessingInk">
                    <w14:contentPart bwMode="auto" r:id="rId27">
                      <w14:nvContentPartPr>
                        <w14:cNvContentPartPr/>
                      </w14:nvContentPartPr>
                      <w14:xfrm>
                        <a:off x="0" y="0"/>
                        <a:ext cx="6480" cy="25680"/>
                      </w14:xfrm>
                    </w14:contentPart>
                  </a:graphicData>
                </a:graphic>
              </wp:anchor>
            </w:drawing>
          </mc:Choice>
          <mc:Fallback>
            <w:pict>
              <v:shape w14:anchorId="4852B076" id="Ink 31" o:spid="_x0000_s1026" type="#_x0000_t75" style="position:absolute;margin-left:150.5pt;margin-top:24.15pt;width:1.4pt;height:2.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">
                <v:imagedata r:id="rId28" o:title=""/>
              </v:shape>
            </w:pict>
          </mc:Fallback>
        </mc:AlternateContent>
      </w:r>
      <w:r>
        <w:rPr>
          <w:rFonts w:eastAsia="Times New Roman" w:cs="Arial"/>
          <w:noProof/>
          <w:lang w:eastAsia="en-AU"/>
        </w:rPr>
        <mc:AlternateContent>
          <mc:Choice Requires="wpi">
            <w:drawing>
              <wp:anchor distT="0" distB="0" distL="114300" distR="114300" simplePos="0" relativeHeight="251666432" behindDoc="0" locked="0" layoutInCell="1" allowOverlap="1" wp14:anchorId="3590D6ED" wp14:editId="10920AEE">
                <wp:simplePos x="0" y="0"/>
                <wp:positionH relativeFrom="column">
                  <wp:posOffset>1828780</wp:posOffset>
                </wp:positionH>
                <wp:positionV relativeFrom="paragraph">
                  <wp:posOffset>262195</wp:posOffset>
                </wp:positionV>
                <wp:extent cx="25680" cy="63840"/>
                <wp:effectExtent l="38100" t="38100" r="31750" b="31750"/>
                <wp:wrapNone/>
                <wp:docPr id="30" name="Ink 30"/>
                <wp:cNvGraphicFramePr/>
                <a:graphic xmlns:a="http://schemas.openxmlformats.org/drawingml/2006/main">
                  <a:graphicData uri="http://schemas.microsoft.com/office/word/2010/wordprocessingInk">
                    <w14:contentPart bwMode="auto" r:id="rId29">
                      <w14:nvContentPartPr>
                        <w14:cNvContentPartPr/>
                      </w14:nvContentPartPr>
                      <w14:xfrm>
                        <a:off x="0" y="0"/>
                        <a:ext cx="25680" cy="63840"/>
                      </w14:xfrm>
                    </w14:contentPart>
                  </a:graphicData>
                </a:graphic>
              </wp:anchor>
            </w:drawing>
          </mc:Choice>
          <mc:Fallback>
            <w:pict>
              <v:shape w14:anchorId="0B01BAD8" id="Ink 30" o:spid="_x0000_s1026" type="#_x0000_t75" style="position:absolute;margin-left:143.5pt;margin-top:20.15pt;width:2.95pt;height: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">
                <v:imagedata r:id="rId30" o:title=""/>
              </v:shape>
            </w:pict>
          </mc:Fallback>
        </mc:AlternateContent>
      </w:r>
      <w:r>
        <w:rPr>
          <w:rFonts w:eastAsia="Times New Roman" w:cs="Arial"/>
          <w:noProof/>
          <w:lang w:eastAsia="en-AU"/>
        </w:rPr>
        <mc:AlternateContent>
          <mc:Choice Requires="wpi">
            <w:drawing>
              <wp:anchor distT="0" distB="0" distL="114300" distR="114300" simplePos="0" relativeHeight="251665408" behindDoc="0" locked="0" layoutInCell="1" allowOverlap="1" wp14:anchorId="4DBA1537" wp14:editId="76CCC721">
                <wp:simplePos x="0" y="0"/>
                <wp:positionH relativeFrom="column">
                  <wp:posOffset>1866700</wp:posOffset>
                </wp:positionH>
                <wp:positionV relativeFrom="paragraph">
                  <wp:posOffset>344755</wp:posOffset>
                </wp:positionV>
                <wp:extent cx="6480" cy="240"/>
                <wp:effectExtent l="38100" t="38100" r="31750" b="38100"/>
                <wp:wrapNone/>
                <wp:docPr id="29" name="Ink 29"/>
                <wp:cNvGraphicFramePr/>
                <a:graphic xmlns:a="http://schemas.openxmlformats.org/drawingml/2006/main">
                  <a:graphicData uri="http://schemas.microsoft.com/office/word/2010/wordprocessingInk">
                    <w14:contentPart bwMode="auto" r:id="rId31">
                      <w14:nvContentPartPr>
                        <w14:cNvContentPartPr/>
                      </w14:nvContentPartPr>
                      <w14:xfrm>
                        <a:off x="0" y="0"/>
                        <a:ext cx="6480" cy="240"/>
                      </w14:xfrm>
                    </w14:contentPart>
                  </a:graphicData>
                </a:graphic>
              </wp:anchor>
            </w:drawing>
          </mc:Choice>
          <mc:Fallback>
            <w:pict>
              <v:shape w14:anchorId="7285F5B8" id="Ink 29" o:spid="_x0000_s1026" type="#_x0000_t75" style="position:absolute;margin-left:146.7pt;margin-top:26.85pt;width:1.1pt;height:.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">
                <v:imagedata r:id="rId32" o:title=""/>
              </v:shape>
            </w:pict>
          </mc:Fallback>
        </mc:AlternateContent>
      </w:r>
      <w:r>
        <w:rPr>
          <w:rFonts w:eastAsia="Times New Roman" w:cs="Arial"/>
          <w:noProof/>
          <w:lang w:eastAsia="en-AU"/>
        </w:rPr>
        <mc:AlternateContent>
          <mc:Choice Requires="wpi">
            <w:drawing>
              <wp:anchor distT="0" distB="0" distL="114300" distR="114300" simplePos="0" relativeHeight="251664384" behindDoc="0" locked="0" layoutInCell="1" allowOverlap="1" wp14:anchorId="29002943" wp14:editId="063BB4F4">
                <wp:simplePos x="0" y="0"/>
                <wp:positionH relativeFrom="column">
                  <wp:posOffset>1765180</wp:posOffset>
                </wp:positionH>
                <wp:positionV relativeFrom="paragraph">
                  <wp:posOffset>281155</wp:posOffset>
                </wp:positionV>
                <wp:extent cx="19200" cy="19200"/>
                <wp:effectExtent l="38100" t="38100" r="38100" b="38100"/>
                <wp:wrapNone/>
                <wp:docPr id="28" name="Ink 28"/>
                <wp:cNvGraphicFramePr/>
                <a:graphic xmlns:a="http://schemas.openxmlformats.org/drawingml/2006/main">
                  <a:graphicData uri="http://schemas.microsoft.com/office/word/2010/wordprocessingInk">
                    <w14:contentPart bwMode="auto" r:id="rId33">
                      <w14:nvContentPartPr>
                        <w14:cNvContentPartPr/>
                      </w14:nvContentPartPr>
                      <w14:xfrm>
                        <a:off x="0" y="0"/>
                        <a:ext cx="19200" cy="19200"/>
                      </w14:xfrm>
                    </w14:contentPart>
                  </a:graphicData>
                </a:graphic>
              </wp:anchor>
            </w:drawing>
          </mc:Choice>
          <mc:Fallback>
            <w:pict>
              <v:shape w14:anchorId="687AF524" id="Ink 28" o:spid="_x0000_s1026" type="#_x0000_t75" style="position:absolute;margin-left:138.45pt;margin-top:21.6pt;width:2.55pt;height:2.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">
                <v:imagedata r:id="rId34" o:title=""/>
              </v:shape>
            </w:pict>
          </mc:Fallback>
        </mc:AlternateContent>
      </w:r>
      <w:r>
        <w:rPr>
          <w:rFonts w:eastAsia="Times New Roman" w:cs="Arial"/>
          <w:noProof/>
          <w:lang w:eastAsia="en-AU"/>
        </w:rPr>
        <mc:AlternateContent>
          <mc:Choice Requires="wpi">
            <w:drawing>
              <wp:anchor distT="0" distB="0" distL="114300" distR="114300" simplePos="0" relativeHeight="251663360" behindDoc="0" locked="0" layoutInCell="1" allowOverlap="1" wp14:anchorId="3B999E4D" wp14:editId="0F5AC984">
                <wp:simplePos x="0" y="0"/>
                <wp:positionH relativeFrom="column">
                  <wp:posOffset>1835020</wp:posOffset>
                </wp:positionH>
                <wp:positionV relativeFrom="paragraph">
                  <wp:posOffset>300355</wp:posOffset>
                </wp:positionV>
                <wp:extent cx="38400" cy="25680"/>
                <wp:effectExtent l="38100" t="38100" r="38100" b="31750"/>
                <wp:wrapNone/>
                <wp:docPr id="27" name="Ink 27"/>
                <wp:cNvGraphicFramePr/>
                <a:graphic xmlns:a="http://schemas.openxmlformats.org/drawingml/2006/main">
                  <a:graphicData uri="http://schemas.microsoft.com/office/word/2010/wordprocessingInk">
                    <w14:contentPart bwMode="auto" r:id="rId35">
                      <w14:nvContentPartPr>
                        <w14:cNvContentPartPr/>
                      </w14:nvContentPartPr>
                      <w14:xfrm>
                        <a:off x="0" y="0"/>
                        <a:ext cx="38400" cy="25680"/>
                      </w14:xfrm>
                    </w14:contentPart>
                  </a:graphicData>
                </a:graphic>
              </wp:anchor>
            </w:drawing>
          </mc:Choice>
          <mc:Fallback>
            <w:pict>
              <v:shape w14:anchorId="3681CB17" id="Ink 27" o:spid="_x0000_s1026" type="#_x0000_t75" style="position:absolute;margin-left:2in;margin-top:23.15pt;width:3.95pt;height:2.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">
                <v:imagedata r:id="rId36" o:title=""/>
              </v:shape>
            </w:pict>
          </mc:Fallback>
        </mc:AlternateContent>
      </w:r>
      <w:r w:rsidRPr="000C5280">
        <w:rPr>
          <w:rFonts w:eastAsia="Times New Roman" w:cs="Arial"/>
          <w:lang w:eastAsia="en-AU"/>
        </w:rPr>
        <w:t>they had a greate</w:t>
      </w:r>
      <w:r>
        <w:rPr>
          <w:rFonts w:eastAsia="Times New Roman" w:cs="Arial"/>
          <w:lang w:eastAsia="en-AU"/>
        </w:rPr>
        <w:t>r understanding of their rights and</w:t>
      </w:r>
      <w:r w:rsidRPr="000C5280">
        <w:rPr>
          <w:rFonts w:eastAsia="Times New Roman" w:cs="Arial"/>
          <w:lang w:eastAsia="en-AU"/>
        </w:rPr>
        <w:t xml:space="preserve"> were more confident express</w:t>
      </w:r>
      <w:r>
        <w:rPr>
          <w:rFonts w:eastAsia="Times New Roman" w:cs="Arial"/>
          <w:lang w:eastAsia="en-AU"/>
        </w:rPr>
        <w:t>ing their views and preferences to their treating team.</w:t>
      </w:r>
    </w:p>
    <w:p w14:paraId="4919327B" w14:textId="3BA5426A" w:rsidR="00CB63F9" w:rsidRPr="000D2997" w:rsidRDefault="000D2997" w:rsidP="004E007C">
      <w:pPr>
        <w:pStyle w:val="ListParagraph"/>
        <w:numPr>
          <w:ilvl w:val="0"/>
          <w:numId w:val="11"/>
        </w:numPr>
        <w:spacing w:after="0" w:line="300" w:lineRule="atLeast"/>
        <w:contextualSpacing w:val="0"/>
        <w:jc w:val="left"/>
        <w:rPr>
          <w:rFonts w:cs="Arial"/>
        </w:rPr>
      </w:pPr>
      <w:r>
        <w:rPr>
          <w:rFonts w:eastAsia="Times New Roman" w:cs="Arial"/>
          <w:lang w:eastAsia="en-AU"/>
        </w:rPr>
        <w:t>they had a better understanding of the mental health system and felt more involved in decisions regarding their treatment and recovery.</w:t>
      </w:r>
    </w:p>
    <w:p w14:paraId="3DBD220D" w14:textId="78BB84BC" w:rsidR="00CB63F9" w:rsidRDefault="00CB63F9" w:rsidP="00DF68B9">
      <w:pPr>
        <w:spacing w:after="0" w:line="240" w:lineRule="auto"/>
        <w:jc w:val="left"/>
        <w:rPr>
          <w:rFonts w:cs="Arial"/>
          <w:i/>
          <w:lang w:val="en-US"/>
        </w:rPr>
      </w:pPr>
      <w:r>
        <w:rPr>
          <w:rFonts w:cs="Arial"/>
          <w:i/>
          <w:lang w:val="en-US"/>
        </w:rPr>
        <w:br w:type="page"/>
      </w:r>
    </w:p>
    <w:p w14:paraId="7EFD1039" w14:textId="2D5C2C3F" w:rsidR="000D2997" w:rsidRPr="000D2997" w:rsidRDefault="000D2997" w:rsidP="00DF68B9">
      <w:pPr>
        <w:pStyle w:val="Heading4"/>
        <w:rPr>
          <w:lang w:val="en-US"/>
        </w:rPr>
      </w:pPr>
      <w:r>
        <w:rPr>
          <w:lang w:val="en-US"/>
        </w:rPr>
        <w:lastRenderedPageBreak/>
        <w:t xml:space="preserve">Consumer </w:t>
      </w:r>
      <w:r w:rsidR="001F76DB">
        <w:rPr>
          <w:lang w:val="en-US"/>
        </w:rPr>
        <w:t>f</w:t>
      </w:r>
      <w:r>
        <w:rPr>
          <w:lang w:val="en-US"/>
        </w:rPr>
        <w:t xml:space="preserve">eedback </w:t>
      </w:r>
    </w:p>
    <w:p w14:paraId="4D6461E1" w14:textId="77777777" w:rsidR="000D2997" w:rsidRPr="007322CF" w:rsidRDefault="000D2997" w:rsidP="00DF68B9">
      <w:pPr>
        <w:spacing w:line="300" w:lineRule="atLeast"/>
        <w:jc w:val="left"/>
        <w:rPr>
          <w:rFonts w:cs="Arial"/>
        </w:rPr>
      </w:pPr>
      <w:r w:rsidRPr="007322CF">
        <w:rPr>
          <w:rFonts w:eastAsiaTheme="minorEastAsia" w:cs="Arial"/>
          <w:lang w:eastAsia="en-AU"/>
        </w:rPr>
        <w:t xml:space="preserve">Consumers continue to provide IMHA with feedback about their experience with the service. </w:t>
      </w:r>
      <w:r>
        <w:rPr>
          <w:rFonts w:eastAsiaTheme="minorEastAsia" w:cs="Arial"/>
          <w:lang w:eastAsia="en-AU"/>
        </w:rPr>
        <w:t>Throughout this report</w:t>
      </w:r>
      <w:r w:rsidRPr="007322CF">
        <w:rPr>
          <w:rFonts w:eastAsiaTheme="minorEastAsia" w:cs="Arial"/>
          <w:lang w:eastAsia="en-AU"/>
        </w:rPr>
        <w:t xml:space="preserve"> are just a </w:t>
      </w:r>
      <w:r>
        <w:rPr>
          <w:rFonts w:eastAsiaTheme="minorEastAsia" w:cs="Arial"/>
          <w:lang w:eastAsia="en-AU"/>
        </w:rPr>
        <w:t>selection of</w:t>
      </w:r>
      <w:r w:rsidRPr="007322CF">
        <w:rPr>
          <w:rFonts w:eastAsiaTheme="minorEastAsia" w:cs="Arial"/>
          <w:lang w:eastAsia="en-AU"/>
        </w:rPr>
        <w:t xml:space="preserve"> quotes consumers have shared with us</w:t>
      </w:r>
      <w:r>
        <w:rPr>
          <w:rFonts w:eastAsiaTheme="minorEastAsia" w:cs="Arial"/>
          <w:lang w:eastAsia="en-AU"/>
        </w:rPr>
        <w:t>:</w:t>
      </w:r>
    </w:p>
    <w:p w14:paraId="4687C1B7" w14:textId="22130573" w:rsidR="002D2294" w:rsidRDefault="000D2997" w:rsidP="00DF68B9">
      <w:pPr>
        <w:jc w:val="left"/>
        <w:rPr>
          <w:lang w:val="en-US"/>
        </w:rPr>
      </w:pPr>
      <w:r>
        <w:rPr>
          <w:rFonts w:eastAsiaTheme="minorEastAsia" w:cs="Arial"/>
          <w:noProof/>
          <w:lang w:eastAsia="en-AU"/>
        </w:rPr>
        <w:drawing>
          <wp:inline distT="0" distB="0" distL="0" distR="0" wp14:anchorId="3C26820F" wp14:editId="3DC9EB86">
            <wp:extent cx="3649345" cy="2200275"/>
            <wp:effectExtent l="0" t="0" r="8255" b="9525"/>
            <wp:docPr id="22" name="Picture 22" descr="Quote from IMHA consumer: &quot;the information provided by the IMHA advocate made a huge difference to my son and I, as we had no idea what was going on, what a treatment order was or what our rights wer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01_IMHA_twitter_graphics_v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9345" cy="2200275"/>
                    </a:xfrm>
                    <a:prstGeom prst="rect">
                      <a:avLst/>
                    </a:prstGeom>
                  </pic:spPr>
                </pic:pic>
              </a:graphicData>
            </a:graphic>
          </wp:inline>
        </w:drawing>
      </w:r>
    </w:p>
    <w:p w14:paraId="4EC4D190" w14:textId="274809A7" w:rsidR="000D2997" w:rsidRPr="000D2997" w:rsidRDefault="000D2997" w:rsidP="00DF68B9">
      <w:pPr>
        <w:spacing w:line="300" w:lineRule="atLeast"/>
        <w:jc w:val="left"/>
        <w:rPr>
          <w:rFonts w:cs="Arial"/>
        </w:rPr>
      </w:pPr>
      <w:r>
        <w:rPr>
          <w:rFonts w:cs="Arial"/>
        </w:rPr>
        <w:t xml:space="preserve">The </w:t>
      </w:r>
      <w:hyperlink r:id="rId38" w:history="1">
        <w:r w:rsidRPr="008F3E3B">
          <w:rPr>
            <w:rStyle w:val="Hyperlink"/>
            <w:rFonts w:cs="Arial"/>
          </w:rPr>
          <w:t>Speaking From Experience</w:t>
        </w:r>
      </w:hyperlink>
      <w:r w:rsidRPr="0086333B">
        <w:rPr>
          <w:rFonts w:cs="Arial"/>
        </w:rPr>
        <w:t xml:space="preserve"> consumer advisory grou</w:t>
      </w:r>
      <w:r>
        <w:rPr>
          <w:rFonts w:cs="Arial"/>
        </w:rPr>
        <w:t>p</w:t>
      </w:r>
      <w:r w:rsidRPr="0086333B">
        <w:rPr>
          <w:rFonts w:cs="Arial"/>
        </w:rPr>
        <w:t xml:space="preserve"> continues to meet and contribute to the work of IMHA and Victoria Legal Aid. In the last </w:t>
      </w:r>
      <w:r>
        <w:rPr>
          <w:rFonts w:cs="Arial"/>
        </w:rPr>
        <w:t>year</w:t>
      </w:r>
      <w:r w:rsidRPr="0086333B">
        <w:rPr>
          <w:rFonts w:cs="Arial"/>
        </w:rPr>
        <w:t xml:space="preserve"> they have worked closely with IMHA to develop consumer information</w:t>
      </w:r>
      <w:r>
        <w:rPr>
          <w:rFonts w:cs="Arial"/>
        </w:rPr>
        <w:t>,</w:t>
      </w:r>
      <w:r w:rsidRPr="0086333B">
        <w:rPr>
          <w:rFonts w:cs="Arial"/>
        </w:rPr>
        <w:t xml:space="preserve"> presented Advance Statement and Nominated Persons information that will be available on the website</w:t>
      </w:r>
      <w:r>
        <w:rPr>
          <w:rFonts w:cs="Arial"/>
        </w:rPr>
        <w:t xml:space="preserve"> and social media channels</w:t>
      </w:r>
      <w:r w:rsidRPr="0086333B">
        <w:rPr>
          <w:rFonts w:cs="Arial"/>
        </w:rPr>
        <w:t xml:space="preserve"> as a video</w:t>
      </w:r>
      <w:r>
        <w:rPr>
          <w:rFonts w:cs="Arial"/>
        </w:rPr>
        <w:t>,</w:t>
      </w:r>
      <w:r w:rsidRPr="0086333B">
        <w:rPr>
          <w:rFonts w:cs="Arial"/>
        </w:rPr>
        <w:t xml:space="preserve"> and informed the external evaluation of IMHA.</w:t>
      </w:r>
    </w:p>
    <w:p w14:paraId="0F5A5609" w14:textId="7FAC6314" w:rsidR="00CB63F9" w:rsidRDefault="000D2997" w:rsidP="00DF68B9">
      <w:pPr>
        <w:pStyle w:val="Heading5"/>
        <w:jc w:val="left"/>
        <w:rPr>
          <w:lang w:val="en-US"/>
        </w:rPr>
      </w:pPr>
      <w:r>
        <w:rPr>
          <w:lang w:val="en-US"/>
        </w:rPr>
        <w:t xml:space="preserve">External </w:t>
      </w:r>
      <w:r w:rsidR="001F76DB">
        <w:rPr>
          <w:lang w:val="en-US"/>
        </w:rPr>
        <w:t>e</w:t>
      </w:r>
      <w:r>
        <w:rPr>
          <w:lang w:val="en-US"/>
        </w:rPr>
        <w:t xml:space="preserve">valuation </w:t>
      </w:r>
    </w:p>
    <w:p w14:paraId="7B106798" w14:textId="77777777" w:rsidR="001F76DB" w:rsidRPr="001F76DB" w:rsidRDefault="001F76DB" w:rsidP="00DF68B9">
      <w:pPr>
        <w:jc w:val="left"/>
      </w:pPr>
      <w:r w:rsidRPr="001F76DB">
        <w:t xml:space="preserve">In May 2017 RMIT was appointed to undertake an external evaluation of IMHA’s efficiency, effectiveness and sustainability. The midterm review has now concluded and was overwhelmingly positive, with all stakeholders giving positive feedback. </w:t>
      </w:r>
    </w:p>
    <w:p w14:paraId="3F632C47" w14:textId="77777777" w:rsidR="001F76DB" w:rsidRPr="001F76DB" w:rsidRDefault="001F76DB" w:rsidP="00DF68B9">
      <w:pPr>
        <w:jc w:val="left"/>
        <w:rPr>
          <w:i/>
        </w:rPr>
      </w:pPr>
      <w:r w:rsidRPr="001F76DB">
        <w:rPr>
          <w:i/>
        </w:rPr>
        <w:t xml:space="preserve">“The central tenet of IMHA’s service – rights-based representational advocacy – was consistently portrayed by the staff and valued by consumers”. </w:t>
      </w:r>
    </w:p>
    <w:p w14:paraId="5AA67596" w14:textId="77777777" w:rsidR="001F76DB" w:rsidRPr="001F76DB" w:rsidRDefault="001F76DB" w:rsidP="00DF68B9">
      <w:pPr>
        <w:jc w:val="left"/>
      </w:pPr>
      <w:r w:rsidRPr="001F76DB">
        <w:t xml:space="preserve">The evaluation is due to conclude in November 2018 and the midterm and final findings will be accessible on </w:t>
      </w:r>
      <w:bookmarkStart w:id="0" w:name="_GoBack"/>
      <w:r w:rsidRPr="001F76DB">
        <w:t>the IMHA website</w:t>
      </w:r>
      <w:bookmarkEnd w:id="0"/>
      <w:r w:rsidRPr="001F76DB">
        <w:t>.</w:t>
      </w:r>
    </w:p>
    <w:p w14:paraId="462FDB59" w14:textId="77777777" w:rsidR="002D2294" w:rsidRDefault="002D2294" w:rsidP="00DF68B9">
      <w:pPr>
        <w:spacing w:after="0" w:line="240" w:lineRule="auto"/>
        <w:jc w:val="left"/>
        <w:rPr>
          <w:rFonts w:eastAsia="Times New Roman" w:cs="Arial"/>
          <w:b/>
          <w:bCs/>
          <w:color w:val="C63C1B"/>
          <w:kern w:val="32"/>
          <w:sz w:val="32"/>
          <w:szCs w:val="32"/>
          <w:lang w:val="en-US" w:eastAsia="en-AU"/>
        </w:rPr>
      </w:pPr>
      <w:r>
        <w:rPr>
          <w:lang w:val="en-US"/>
        </w:rPr>
        <w:br w:type="page"/>
      </w:r>
    </w:p>
    <w:p w14:paraId="3B88E83D" w14:textId="2C7FAA3F" w:rsidR="001F76DB" w:rsidRDefault="001F76DB" w:rsidP="00DF68B9">
      <w:pPr>
        <w:pStyle w:val="Heading6"/>
        <w:jc w:val="left"/>
      </w:pPr>
      <w:r>
        <w:lastRenderedPageBreak/>
        <w:t xml:space="preserve">A summary of our work </w:t>
      </w:r>
    </w:p>
    <w:p w14:paraId="0C4C5025" w14:textId="66AB48C5" w:rsidR="001F76DB" w:rsidRDefault="001F76DB" w:rsidP="00DF68B9">
      <w:pPr>
        <w:spacing w:line="300" w:lineRule="atLeast"/>
        <w:jc w:val="left"/>
        <w:rPr>
          <w:rFonts w:cs="Arial"/>
        </w:rPr>
      </w:pPr>
      <w:r>
        <w:rPr>
          <w:rFonts w:cs="Arial"/>
        </w:rPr>
        <w:t>Below is a snapshot of IMHAs Year One and Year Two achievements and information about consumers who accessed services.</w:t>
      </w:r>
    </w:p>
    <w:p w14:paraId="0021D1F1" w14:textId="7595F210" w:rsidR="001F76DB" w:rsidRDefault="001F76DB" w:rsidP="00DF68B9">
      <w:pPr>
        <w:pStyle w:val="Heading5"/>
        <w:jc w:val="left"/>
        <w:rPr>
          <w:rStyle w:val="Emphasis"/>
          <w:b w:val="0"/>
          <w:i w:val="0"/>
          <w:iCs w:val="0"/>
        </w:rPr>
      </w:pPr>
      <w:r>
        <w:rPr>
          <w:rFonts w:cs="Arial"/>
          <w:noProof/>
          <w:lang w:eastAsia="en-AU"/>
        </w:rPr>
        <w:drawing>
          <wp:inline distT="0" distB="0" distL="0" distR="0" wp14:anchorId="55E12A3C" wp14:editId="79E055C1">
            <wp:extent cx="5731510" cy="3778250"/>
            <wp:effectExtent l="0" t="0" r="2540" b="0"/>
            <wp:docPr id="8" name="Picture 8" descr="The image shows information about consumers who accessed IMHA. In year 1, 34 consumers accessed IMHA and in year 2, 35 consumers accessed IMHA. also, 229 information sessions with two thousand six hundred and nineteen participants were held in the first year, and 166 sessions with two thousand three hundred and seventy six participants in the second year. Four thousand five hundred and twenty nine high intensity services were delivered in year one and six thousand nine hundred and fifty eight high intensity services were provided in year 2. Alternatively, for low intensity services such as just providing information and referrals, IMHA provided seven thousand six hundred and fifty services in the first year and thirteen thousand and forty eight services in the second year. Further, the percentage of self-referrals grew from 64.5% to 71.7% in the second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_11_30_WEB_full_width_IMHA_birthday_v1.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3778250"/>
                    </a:xfrm>
                    <a:prstGeom prst="rect">
                      <a:avLst/>
                    </a:prstGeom>
                  </pic:spPr>
                </pic:pic>
              </a:graphicData>
            </a:graphic>
          </wp:inline>
        </w:drawing>
      </w:r>
    </w:p>
    <w:p w14:paraId="75B32AC9" w14:textId="77777777" w:rsidR="001F76DB" w:rsidRDefault="001F76DB" w:rsidP="00DF68B9">
      <w:pPr>
        <w:jc w:val="left"/>
        <w:rPr>
          <w:rFonts w:cs="Arial"/>
        </w:rPr>
      </w:pPr>
      <w:r>
        <w:rPr>
          <w:rFonts w:cs="Arial"/>
          <w:noProof/>
          <w:lang w:eastAsia="en-AU"/>
        </w:rPr>
        <mc:AlternateContent>
          <mc:Choice Requires="wpi">
            <w:drawing>
              <wp:anchor distT="0" distB="0" distL="114300" distR="114300" simplePos="0" relativeHeight="251671552" behindDoc="0" locked="0" layoutInCell="1" allowOverlap="1" wp14:anchorId="757D5288" wp14:editId="63D432CD">
                <wp:simplePos x="0" y="0"/>
                <wp:positionH relativeFrom="column">
                  <wp:posOffset>380860</wp:posOffset>
                </wp:positionH>
                <wp:positionV relativeFrom="paragraph">
                  <wp:posOffset>162380</wp:posOffset>
                </wp:positionV>
                <wp:extent cx="19200" cy="6480"/>
                <wp:effectExtent l="38100" t="38100" r="38100" b="31750"/>
                <wp:wrapNone/>
                <wp:docPr id="9" name="Ink 9"/>
                <wp:cNvGraphicFramePr/>
                <a:graphic xmlns:a="http://schemas.openxmlformats.org/drawingml/2006/main">
                  <a:graphicData uri="http://schemas.microsoft.com/office/word/2010/wordprocessingInk">
                    <w14:contentPart bwMode="auto" r:id="rId40">
                      <w14:nvContentPartPr>
                        <w14:cNvContentPartPr/>
                      </w14:nvContentPartPr>
                      <w14:xfrm>
                        <a:off x="0" y="0"/>
                        <a:ext cx="19200" cy="6480"/>
                      </w14:xfrm>
                    </w14:contentPart>
                  </a:graphicData>
                </a:graphic>
              </wp:anchor>
            </w:drawing>
          </mc:Choice>
          <mc:Fallback>
            <w:pict>
              <v:shape w14:anchorId="4C6B8DAD" id="Ink 9" o:spid="_x0000_s1026" type="#_x0000_t75" style="position:absolute;margin-left:29.45pt;margin-top:12.2pt;width:2.55pt;height:1.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">
                <v:imagedata r:id="rId41" o:title=""/>
              </v:shape>
            </w:pict>
          </mc:Fallback>
        </mc:AlternateContent>
      </w:r>
      <w:r>
        <w:rPr>
          <w:rFonts w:cs="Arial"/>
        </w:rPr>
        <w:t>The following graphic provides demographic information about the consumers we provided advocacy and self-advocacy services to in the first and second year. It does not include consumers for whom we provided information and referral only due to limited data collected.</w:t>
      </w:r>
    </w:p>
    <w:p w14:paraId="14743B43" w14:textId="4219D349" w:rsidR="001F76DB" w:rsidRDefault="001F76DB" w:rsidP="00DF68B9">
      <w:pPr>
        <w:pStyle w:val="Heading5"/>
        <w:jc w:val="left"/>
        <w:rPr>
          <w:rStyle w:val="Emphasis"/>
          <w:b w:val="0"/>
          <w:i w:val="0"/>
          <w:iCs w:val="0"/>
        </w:rPr>
      </w:pPr>
      <w:r>
        <w:rPr>
          <w:noProof/>
          <w:lang w:eastAsia="en-AU"/>
        </w:rPr>
        <w:lastRenderedPageBreak/>
        <w:drawing>
          <wp:inline distT="0" distB="0" distL="0" distR="0" wp14:anchorId="05D0D2D1" wp14:editId="25EA0A0C">
            <wp:extent cx="5731510" cy="7713369"/>
            <wp:effectExtent l="0" t="0" r="2540" b="1905"/>
            <wp:docPr id="34" name="Picture 34" descr="This graphic compares demographic information taken from year one and year two. &#10;In terms of age, 3.1% of consumers ere under the age of twenty in year one which increased slightly to 3.6% by year two. The percentage of consumers between the age of 21 and 30 also grew from 17.6% to 18.5%.  Consumers aged between 31 and 40 made up the largest percentage of overall consumers. In year one it was 31.6% and in year two it was 30.5%. &#10;The age group of 41 to 50 made up 24.3% in year one and 23.1% in year two. Further, 18.4% were 51-65 in the first year and 19.6% in the second year. &#10;Other demographics showed that the percentage of consumers that were born overseas increased from 17.6% to 19.3%. &#10;In terms of gender, in the first year 50.1% were female and 49.9% were male. In the second year, 46.3% were female and 53.6% were male. &#10;3.2% of consumer identified as Aboriginal in both years, and 0.4% identified as both Aboriginal and Torres Strait Islander in both years. &#10;&#10;0.8% of consumers required interpreters in year one and 0.6% needed them in year 2. &#10;&#10;In terms of locations, the majority of consumers were located in major cities, with 73.4% in year one and 75.1% in year 2. 18.1% of consumers came from inner regional Australia in year one and 17.5% in year 2.  the remaining percentage made up those consumers from outer regional Austra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9197\AppData\Local\Microsoft\Windows\INetCacheContent.Word\Year2 data.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7713369"/>
                    </a:xfrm>
                    <a:prstGeom prst="rect">
                      <a:avLst/>
                    </a:prstGeom>
                    <a:noFill/>
                    <a:ln>
                      <a:noFill/>
                    </a:ln>
                  </pic:spPr>
                </pic:pic>
              </a:graphicData>
            </a:graphic>
          </wp:inline>
        </w:drawing>
      </w:r>
    </w:p>
    <w:p w14:paraId="73CB6EE2" w14:textId="0F719FD6" w:rsidR="001F76DB" w:rsidRDefault="001F76DB" w:rsidP="00DF68B9">
      <w:pPr>
        <w:jc w:val="left"/>
      </w:pPr>
      <w:r w:rsidRPr="001F76DB">
        <w:t xml:space="preserve">This year IMHA provided services to consumers who identified a range of concerns. The following table lists the most common issues raised by consumers that advocates </w:t>
      </w:r>
      <w:proofErr w:type="gramStart"/>
      <w:r w:rsidRPr="001F76DB">
        <w:t>provided assistance</w:t>
      </w:r>
      <w:proofErr w:type="gramEnd"/>
      <w:r w:rsidRPr="001F76DB">
        <w:t xml:space="preserve"> with, including information, coaching for self-advocacy, advocacy and referral</w:t>
      </w:r>
    </w:p>
    <w:p w14:paraId="150D8A2B" w14:textId="3366E642" w:rsidR="001F76DB" w:rsidRDefault="001F76DB" w:rsidP="00DF68B9">
      <w:pPr>
        <w:jc w:val="left"/>
      </w:pPr>
      <w:r>
        <w:rPr>
          <w:noProof/>
          <w:lang w:eastAsia="en-AU"/>
        </w:rPr>
        <w:lastRenderedPageBreak/>
        <w:drawing>
          <wp:inline distT="0" distB="0" distL="0" distR="0" wp14:anchorId="47F49A00" wp14:editId="3AEDD6EB">
            <wp:extent cx="5731510" cy="2351405"/>
            <wp:effectExtent l="0" t="0" r="2540" b="0"/>
            <wp:docPr id="6" name="Picture 6" descr="22.9% of consumers requested advocacy for participation in decisions in year one, whereas 21.3% requested advocacy for the same in year two. Likewise, advocacy for treatment preferences decreased from the first year to 17.9% in the second year. Discharge planning was requested by 20.1% of consumers in year one and 21.7% in year tw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_11_30_WEB_full_width_IMHA_birthday_v3.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2351405"/>
                    </a:xfrm>
                    <a:prstGeom prst="rect">
                      <a:avLst/>
                    </a:prstGeom>
                  </pic:spPr>
                </pic:pic>
              </a:graphicData>
            </a:graphic>
          </wp:inline>
        </w:drawing>
      </w:r>
    </w:p>
    <w:p w14:paraId="3CD2B8C2" w14:textId="77777777" w:rsidR="001F76DB" w:rsidRDefault="001F76DB" w:rsidP="00DF68B9">
      <w:pPr>
        <w:spacing w:line="300" w:lineRule="atLeast"/>
        <w:jc w:val="left"/>
        <w:rPr>
          <w:rFonts w:cs="Arial"/>
        </w:rPr>
      </w:pPr>
      <w:r>
        <w:rPr>
          <w:rFonts w:cs="Arial"/>
          <w:noProof/>
          <w:lang w:eastAsia="en-AU"/>
        </w:rPr>
        <mc:AlternateContent>
          <mc:Choice Requires="wpi">
            <w:drawing>
              <wp:anchor distT="0" distB="0" distL="114300" distR="114300" simplePos="0" relativeHeight="251673600" behindDoc="0" locked="0" layoutInCell="1" allowOverlap="1" wp14:anchorId="7B06D03A" wp14:editId="4F6F3489">
                <wp:simplePos x="0" y="0"/>
                <wp:positionH relativeFrom="column">
                  <wp:posOffset>11004460</wp:posOffset>
                </wp:positionH>
                <wp:positionV relativeFrom="paragraph">
                  <wp:posOffset>1016555</wp:posOffset>
                </wp:positionV>
                <wp:extent cx="51120" cy="25680"/>
                <wp:effectExtent l="38100" t="38100" r="25400" b="31750"/>
                <wp:wrapNone/>
                <wp:docPr id="36" name="Ink 36"/>
                <wp:cNvGraphicFramePr/>
                <a:graphic xmlns:a="http://schemas.openxmlformats.org/drawingml/2006/main">
                  <a:graphicData uri="http://schemas.microsoft.com/office/word/2010/wordprocessingInk">
                    <w14:contentPart bwMode="auto" r:id="rId44">
                      <w14:nvContentPartPr>
                        <w14:cNvContentPartPr/>
                      </w14:nvContentPartPr>
                      <w14:xfrm>
                        <a:off x="0" y="0"/>
                        <a:ext cx="51120" cy="25680"/>
                      </w14:xfrm>
                    </w14:contentPart>
                  </a:graphicData>
                </a:graphic>
              </wp:anchor>
            </w:drawing>
          </mc:Choice>
          <mc:Fallback>
            <w:pict>
              <v:shape w14:anchorId="0670FF14" id="Ink 36" o:spid="_x0000_s1026" type="#_x0000_t75" style="position:absolute;margin-left:866pt;margin-top:79.55pt;width:5pt;height:2.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">
                <v:imagedata r:id="rId45" o:title=""/>
              </v:shape>
            </w:pict>
          </mc:Fallback>
        </mc:AlternateContent>
      </w:r>
      <w:r>
        <w:rPr>
          <w:rFonts w:cs="Arial"/>
        </w:rPr>
        <w:t xml:space="preserve">The following table ranks the number of consumers who have received Advocacy services within </w:t>
      </w:r>
      <w:r w:rsidRPr="00F344F2">
        <w:rPr>
          <w:rFonts w:cs="Arial"/>
        </w:rPr>
        <w:t xml:space="preserve">Designated Mental Health Services </w:t>
      </w:r>
      <w:r>
        <w:rPr>
          <w:rFonts w:cs="Arial"/>
        </w:rPr>
        <w:t>(DMHS) in Year One and Year Two. This data does not include consumers who contact IMHA and only receive assistance by telephone. The table below demonstrates increases in the number of consumers we have worked with in Year Two.</w:t>
      </w:r>
    </w:p>
    <w:p w14:paraId="0D9C466D" w14:textId="5EE18378" w:rsidR="001F76DB" w:rsidRDefault="001F76DB" w:rsidP="00DF68B9">
      <w:pPr>
        <w:jc w:val="left"/>
      </w:pPr>
      <w:r>
        <w:rPr>
          <w:noProof/>
          <w:lang w:eastAsia="en-AU"/>
        </w:rPr>
        <w:drawing>
          <wp:inline distT="0" distB="0" distL="0" distR="0" wp14:anchorId="0ACAF4BE" wp14:editId="3BA113EE">
            <wp:extent cx="5731510" cy="4511436"/>
            <wp:effectExtent l="0" t="0" r="2540" b="3810"/>
            <wp:docPr id="7" name="Chart 7" descr="The table shows the Mental Health Services from which IMHA receives allocations. The most significant increases were from the North Western which increased from 154 allocations in the first year to 251 in the second year. Allocations from Eastern also increased from 107 to 184. ">
              <a:extLst xmlns:a="http://schemas.openxmlformats.org/drawingml/2006/main">
                <a:ext uri="{FF2B5EF4-FFF2-40B4-BE49-F238E27FC236}">
                  <a16:creationId xmlns:a16="http://schemas.microsoft.com/office/drawing/2014/main" id="{7FAF146C-5AF9-4C6D-AAEA-4F28A3AA3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C7D6D56" w14:textId="234DACCA" w:rsidR="001F76DB" w:rsidRDefault="001F76DB" w:rsidP="00DF68B9">
      <w:pPr>
        <w:jc w:val="left"/>
      </w:pPr>
      <w:r>
        <w:rPr>
          <w:rFonts w:eastAsiaTheme="minorEastAsia" w:cs="Arial"/>
          <w:noProof/>
          <w:lang w:eastAsia="en-AU"/>
        </w:rPr>
        <w:lastRenderedPageBreak/>
        <w:drawing>
          <wp:inline distT="0" distB="0" distL="0" distR="0" wp14:anchorId="5057FEA5" wp14:editId="342EAFD4">
            <wp:extent cx="4486275" cy="2499360"/>
            <wp:effectExtent l="0" t="0" r="9525" b="0"/>
            <wp:docPr id="23" name="Picture 23" descr="Quote from consumer: &quot;I was treated with great respect and care and curiosity and I am truly grateful for the compassionate ear and overwhelmed by how quick I received a positive outcome due to IMHA. It was very much like being in a dark dungeon and now the lights are on. I have hope now thanks to the kindness of the advocate, thank you.&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01_IMHA_twitter_graphics_v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88138" cy="2500398"/>
                    </a:xfrm>
                    <a:prstGeom prst="rect">
                      <a:avLst/>
                    </a:prstGeom>
                  </pic:spPr>
                </pic:pic>
              </a:graphicData>
            </a:graphic>
          </wp:inline>
        </w:drawing>
      </w:r>
    </w:p>
    <w:p w14:paraId="75EA9081" w14:textId="75569F78" w:rsidR="001F76DB" w:rsidRDefault="001F76DB" w:rsidP="00DF68B9">
      <w:pPr>
        <w:pStyle w:val="Heading7"/>
        <w:jc w:val="left"/>
      </w:pPr>
      <w:r>
        <w:t xml:space="preserve">Reflections from our first two years in Designated Mental Health Services </w:t>
      </w:r>
    </w:p>
    <w:p w14:paraId="7E172E14" w14:textId="77777777" w:rsidR="001F76DB" w:rsidRDefault="001F76DB" w:rsidP="00DF68B9">
      <w:pPr>
        <w:pStyle w:val="PlainText"/>
        <w:spacing w:before="120" w:after="240" w:line="300" w:lineRule="atLeast"/>
        <w:rPr>
          <w:rFonts w:ascii="Arial" w:hAnsi="Arial" w:cs="Arial"/>
        </w:rPr>
      </w:pPr>
      <w:r w:rsidRPr="006B71F9">
        <w:rPr>
          <w:rFonts w:ascii="Arial" w:hAnsi="Arial" w:cs="Arial"/>
        </w:rPr>
        <w:t xml:space="preserve">The following </w:t>
      </w:r>
      <w:r>
        <w:rPr>
          <w:rFonts w:ascii="Arial" w:hAnsi="Arial" w:cs="Arial"/>
        </w:rPr>
        <w:t>are some of the trends that have been identified by IMHA advocates over the first and second year of service provision. IMHA will continue to record issues and raise these with individual DMHS as well as with other relevant stakeholders, i.e. Office of the Chief Psychiatrist and the Department of Health &amp; Human Services (DHHS). The trends have remained similar in Year One and Two.</w:t>
      </w:r>
    </w:p>
    <w:p w14:paraId="5A4FBCBC" w14:textId="77777777" w:rsidR="001F76DB" w:rsidRDefault="001F76DB" w:rsidP="00DF68B9">
      <w:pPr>
        <w:pStyle w:val="PlainText"/>
        <w:spacing w:before="120" w:after="120" w:line="300" w:lineRule="atLeast"/>
        <w:rPr>
          <w:rFonts w:ascii="Arial" w:hAnsi="Arial" w:cs="Arial"/>
        </w:rPr>
      </w:pPr>
      <w:r>
        <w:rPr>
          <w:rFonts w:ascii="Arial" w:hAnsi="Arial" w:cs="Arial"/>
        </w:rPr>
        <w:t>Themes identified during the provision of individual advocacy:</w:t>
      </w:r>
    </w:p>
    <w:p w14:paraId="400861B9" w14:textId="77777777" w:rsidR="001F76DB" w:rsidRDefault="001F76DB" w:rsidP="004E007C">
      <w:pPr>
        <w:pStyle w:val="PlainText"/>
        <w:numPr>
          <w:ilvl w:val="0"/>
          <w:numId w:val="12"/>
        </w:numPr>
        <w:spacing w:before="120" w:after="120" w:line="300" w:lineRule="atLeast"/>
        <w:rPr>
          <w:rFonts w:ascii="Arial" w:hAnsi="Arial" w:cs="Arial"/>
        </w:rPr>
      </w:pPr>
      <w:r>
        <w:rPr>
          <w:rFonts w:ascii="Arial" w:hAnsi="Arial" w:cs="Arial"/>
        </w:rPr>
        <w:t xml:space="preserve">Responses to family violence, sexual assault and childhood trauma in some services do not align with good practice as detailed in the Department’s Service Guideline on Gender Sensitivity and Safety and Guide on Identifying and Responding to Family Violence. For example, several consumers have told IMHA advocates they felt disclosures have been dismissed as part of their illness; some services have contacted perpetrators of violence to share information about the consumer despite the consumer’s disclosure of violence and explicit request that perpetrators are not contacted and involved in their care; and some consumers have had access to specialist services refused, i.e. sexual assault counsellors. Worryingly, several women have disclosed being discharged to housing where they will be unsafe due to family violence. </w:t>
      </w:r>
    </w:p>
    <w:p w14:paraId="1C99BF7D" w14:textId="77777777" w:rsidR="001F76DB" w:rsidRDefault="001F76DB" w:rsidP="004E007C">
      <w:pPr>
        <w:pStyle w:val="PlainText"/>
        <w:numPr>
          <w:ilvl w:val="0"/>
          <w:numId w:val="12"/>
        </w:numPr>
        <w:spacing w:before="120" w:after="120" w:line="300" w:lineRule="atLeast"/>
        <w:rPr>
          <w:rFonts w:ascii="Arial" w:hAnsi="Arial" w:cs="Arial"/>
        </w:rPr>
      </w:pPr>
      <w:r>
        <w:rPr>
          <w:rFonts w:ascii="Arial" w:hAnsi="Arial" w:cs="Arial"/>
        </w:rPr>
        <w:t>Consumers often state that they do not know what Order they have been placed on, nor do they know what their rights are. This suggests consumers are not receiving copies of compulsory treatment orders and that rights information is not provided in a way that supports consumers to understand it.</w:t>
      </w:r>
    </w:p>
    <w:p w14:paraId="5153EA9D" w14:textId="77777777" w:rsidR="001F76DB" w:rsidRDefault="001F76DB" w:rsidP="004E007C">
      <w:pPr>
        <w:pStyle w:val="PlainText"/>
        <w:numPr>
          <w:ilvl w:val="0"/>
          <w:numId w:val="12"/>
        </w:numPr>
        <w:spacing w:before="120" w:after="120" w:line="300" w:lineRule="atLeast"/>
        <w:rPr>
          <w:rFonts w:ascii="Arial" w:hAnsi="Arial" w:cs="Arial"/>
        </w:rPr>
      </w:pPr>
      <w:r w:rsidRPr="000C5280">
        <w:rPr>
          <w:rFonts w:ascii="Arial" w:hAnsi="Arial" w:cs="Arial"/>
        </w:rPr>
        <w:t>Supported Decision Making</w:t>
      </w:r>
      <w:r>
        <w:rPr>
          <w:rFonts w:ascii="Arial" w:hAnsi="Arial" w:cs="Arial"/>
        </w:rPr>
        <w:t xml:space="preserve"> does not appear</w:t>
      </w:r>
      <w:r w:rsidRPr="000C5280">
        <w:rPr>
          <w:rFonts w:ascii="Arial" w:hAnsi="Arial" w:cs="Arial"/>
        </w:rPr>
        <w:t xml:space="preserve"> to be </w:t>
      </w:r>
      <w:r>
        <w:rPr>
          <w:rFonts w:ascii="Arial" w:hAnsi="Arial" w:cs="Arial"/>
        </w:rPr>
        <w:t>the most commonly used</w:t>
      </w:r>
      <w:r w:rsidRPr="000C5280">
        <w:rPr>
          <w:rFonts w:ascii="Arial" w:hAnsi="Arial" w:cs="Arial"/>
        </w:rPr>
        <w:t xml:space="preserve"> model across services, with Substituted and/or Shared </w:t>
      </w:r>
      <w:r>
        <w:rPr>
          <w:rFonts w:ascii="Arial" w:hAnsi="Arial" w:cs="Arial"/>
        </w:rPr>
        <w:t xml:space="preserve">(Collaborative) </w:t>
      </w:r>
      <w:r w:rsidRPr="000C5280">
        <w:rPr>
          <w:rFonts w:ascii="Arial" w:hAnsi="Arial" w:cs="Arial"/>
        </w:rPr>
        <w:t xml:space="preserve">Decision Making being observed by Advocates as the most frequently </w:t>
      </w:r>
      <w:r>
        <w:rPr>
          <w:rFonts w:ascii="Arial" w:hAnsi="Arial" w:cs="Arial"/>
        </w:rPr>
        <w:t>used</w:t>
      </w:r>
      <w:r w:rsidRPr="000C5280">
        <w:rPr>
          <w:rFonts w:ascii="Arial" w:hAnsi="Arial" w:cs="Arial"/>
        </w:rPr>
        <w:t xml:space="preserve"> decision-making models.</w:t>
      </w:r>
      <w:r w:rsidRPr="000C5280" w:rsidDel="00CC6502">
        <w:rPr>
          <w:rFonts w:ascii="Arial" w:hAnsi="Arial" w:cs="Arial"/>
        </w:rPr>
        <w:t xml:space="preserve"> </w:t>
      </w:r>
      <w:r w:rsidRPr="000C5280">
        <w:rPr>
          <w:rFonts w:ascii="Arial" w:hAnsi="Arial" w:cs="Arial"/>
        </w:rPr>
        <w:t xml:space="preserve">Indeed, </w:t>
      </w:r>
      <w:r>
        <w:rPr>
          <w:rFonts w:ascii="Arial" w:hAnsi="Arial" w:cs="Arial"/>
        </w:rPr>
        <w:t>most consumers requesting advocacy from IMHA are concerned they are not actively involved in their treatment, discharge planning, risk assessment or recovery, i.e. leave denied or restricted without the consumer’s involvement in decision making.</w:t>
      </w:r>
    </w:p>
    <w:p w14:paraId="1B5C5876" w14:textId="77777777" w:rsidR="001F76DB" w:rsidRPr="000C5280" w:rsidRDefault="001F76DB" w:rsidP="004E007C">
      <w:pPr>
        <w:pStyle w:val="PlainText"/>
        <w:numPr>
          <w:ilvl w:val="0"/>
          <w:numId w:val="12"/>
        </w:numPr>
        <w:spacing w:before="120" w:after="120" w:line="300" w:lineRule="atLeast"/>
        <w:rPr>
          <w:rFonts w:ascii="Arial" w:hAnsi="Arial" w:cs="Arial"/>
        </w:rPr>
      </w:pPr>
      <w:r w:rsidRPr="000C5280">
        <w:rPr>
          <w:rFonts w:ascii="Arial" w:hAnsi="Arial" w:cs="Arial"/>
        </w:rPr>
        <w:t xml:space="preserve">Consumers’ physical health needs are often not addressed in a timely manner, for example, consumers </w:t>
      </w:r>
      <w:r>
        <w:rPr>
          <w:rFonts w:ascii="Arial" w:hAnsi="Arial" w:cs="Arial"/>
        </w:rPr>
        <w:t>are</w:t>
      </w:r>
      <w:r w:rsidRPr="000C5280">
        <w:rPr>
          <w:rFonts w:ascii="Arial" w:hAnsi="Arial" w:cs="Arial"/>
        </w:rPr>
        <w:t xml:space="preserve"> waiting for lengthy periods of time to see specialists.</w:t>
      </w:r>
    </w:p>
    <w:p w14:paraId="40BA6F06" w14:textId="77777777" w:rsidR="001F76DB" w:rsidRDefault="001F76DB" w:rsidP="004E007C">
      <w:pPr>
        <w:pStyle w:val="PlainText"/>
        <w:numPr>
          <w:ilvl w:val="0"/>
          <w:numId w:val="12"/>
        </w:numPr>
        <w:spacing w:before="120" w:after="120" w:line="300" w:lineRule="atLeast"/>
        <w:rPr>
          <w:rFonts w:ascii="Arial" w:hAnsi="Arial" w:cs="Arial"/>
        </w:rPr>
      </w:pPr>
      <w:r>
        <w:rPr>
          <w:rFonts w:ascii="Arial" w:hAnsi="Arial" w:cs="Arial"/>
        </w:rPr>
        <w:lastRenderedPageBreak/>
        <w:t xml:space="preserve">There appears to be a lack of access to talk therapies that may be preferred by consumers and a reliance on medication as the primary treatment modality. </w:t>
      </w:r>
    </w:p>
    <w:p w14:paraId="1730A360" w14:textId="5FBB27E8" w:rsidR="001F76DB" w:rsidRDefault="001F76DB" w:rsidP="00DF68B9">
      <w:pPr>
        <w:pStyle w:val="Heading8"/>
        <w:jc w:val="left"/>
      </w:pPr>
      <w:r>
        <w:t xml:space="preserve">How we make a difference </w:t>
      </w:r>
    </w:p>
    <w:p w14:paraId="17F2B4B8" w14:textId="77777777" w:rsidR="001F76DB" w:rsidRPr="00EE58F2" w:rsidRDefault="001F76DB" w:rsidP="00DF68B9">
      <w:pPr>
        <w:spacing w:before="120" w:after="120" w:line="300" w:lineRule="atLeast"/>
        <w:jc w:val="left"/>
        <w:rPr>
          <w:rFonts w:cs="Arial"/>
        </w:rPr>
      </w:pPr>
      <w:r>
        <w:rPr>
          <w:rFonts w:cs="Arial"/>
          <w:noProof/>
          <w:lang w:eastAsia="en-AU"/>
        </w:rPr>
        <mc:AlternateContent>
          <mc:Choice Requires="wpi">
            <w:drawing>
              <wp:anchor distT="0" distB="0" distL="114300" distR="114300" simplePos="0" relativeHeight="251678720" behindDoc="0" locked="0" layoutInCell="1" allowOverlap="1" wp14:anchorId="550BBF00" wp14:editId="3EAB39C4">
                <wp:simplePos x="0" y="0"/>
                <wp:positionH relativeFrom="column">
                  <wp:posOffset>6845260</wp:posOffset>
                </wp:positionH>
                <wp:positionV relativeFrom="paragraph">
                  <wp:posOffset>109100</wp:posOffset>
                </wp:positionV>
                <wp:extent cx="19200" cy="38400"/>
                <wp:effectExtent l="38100" t="38100" r="38100" b="38100"/>
                <wp:wrapNone/>
                <wp:docPr id="13" name="Ink 13"/>
                <wp:cNvGraphicFramePr/>
                <a:graphic xmlns:a="http://schemas.openxmlformats.org/drawingml/2006/main">
                  <a:graphicData uri="http://schemas.microsoft.com/office/word/2010/wordprocessingInk">
                    <w14:contentPart bwMode="auto" r:id="rId48">
                      <w14:nvContentPartPr>
                        <w14:cNvContentPartPr/>
                      </w14:nvContentPartPr>
                      <w14:xfrm>
                        <a:off x="0" y="0"/>
                        <a:ext cx="19200" cy="38400"/>
                      </w14:xfrm>
                    </w14:contentPart>
                  </a:graphicData>
                </a:graphic>
              </wp:anchor>
            </w:drawing>
          </mc:Choice>
          <mc:Fallback>
            <w:pict>
              <v:shape w14:anchorId="2D683BC9" id="Ink 13" o:spid="_x0000_s1026" type="#_x0000_t75" style="position:absolute;margin-left:538.5pt;margin-top:8.1pt;width:2.4pt;height:3.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">
                <v:imagedata r:id="rId49" o:title=""/>
              </v:shape>
            </w:pict>
          </mc:Fallback>
        </mc:AlternateContent>
      </w:r>
      <w:r>
        <w:rPr>
          <w:rFonts w:cs="Arial"/>
          <w:noProof/>
          <w:lang w:eastAsia="en-AU"/>
        </w:rPr>
        <mc:AlternateContent>
          <mc:Choice Requires="wpi">
            <w:drawing>
              <wp:anchor distT="0" distB="0" distL="114300" distR="114300" simplePos="0" relativeHeight="251677696" behindDoc="0" locked="0" layoutInCell="1" allowOverlap="1" wp14:anchorId="49D3FB14" wp14:editId="6454172A">
                <wp:simplePos x="0" y="0"/>
                <wp:positionH relativeFrom="column">
                  <wp:posOffset>7175500</wp:posOffset>
                </wp:positionH>
                <wp:positionV relativeFrom="paragraph">
                  <wp:posOffset>591740</wp:posOffset>
                </wp:positionV>
                <wp:extent cx="31920" cy="6480"/>
                <wp:effectExtent l="38100" t="38100" r="44450" b="31750"/>
                <wp:wrapNone/>
                <wp:docPr id="12" name="Ink 12"/>
                <wp:cNvGraphicFramePr/>
                <a:graphic xmlns:a="http://schemas.openxmlformats.org/drawingml/2006/main">
                  <a:graphicData uri="http://schemas.microsoft.com/office/word/2010/wordprocessingInk">
                    <w14:contentPart bwMode="auto" r:id="rId50">
                      <w14:nvContentPartPr>
                        <w14:cNvContentPartPr/>
                      </w14:nvContentPartPr>
                      <w14:xfrm>
                        <a:off x="0" y="0"/>
                        <a:ext cx="31920" cy="6480"/>
                      </w14:xfrm>
                    </w14:contentPart>
                  </a:graphicData>
                </a:graphic>
              </wp:anchor>
            </w:drawing>
          </mc:Choice>
          <mc:Fallback>
            <w:pict>
              <v:shape w14:anchorId="3610B513" id="Ink 12" o:spid="_x0000_s1026" type="#_x0000_t75" style="position:absolute;margin-left:564.5pt;margin-top:46.1pt;width:3.45pt;height:1.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">
                <v:imagedata r:id="rId51" o:title=""/>
              </v:shape>
            </w:pict>
          </mc:Fallback>
        </mc:AlternateContent>
      </w:r>
      <w:r>
        <w:rPr>
          <w:rFonts w:cs="Arial"/>
          <w:noProof/>
          <w:lang w:eastAsia="en-AU"/>
        </w:rPr>
        <mc:AlternateContent>
          <mc:Choice Requires="wpi">
            <w:drawing>
              <wp:anchor distT="0" distB="0" distL="114300" distR="114300" simplePos="0" relativeHeight="251676672" behindDoc="0" locked="0" layoutInCell="1" allowOverlap="1" wp14:anchorId="09098B7D" wp14:editId="4E38FD19">
                <wp:simplePos x="0" y="0"/>
                <wp:positionH relativeFrom="column">
                  <wp:posOffset>8909020</wp:posOffset>
                </wp:positionH>
                <wp:positionV relativeFrom="paragraph">
                  <wp:posOffset>585260</wp:posOffset>
                </wp:positionV>
                <wp:extent cx="19200" cy="6480"/>
                <wp:effectExtent l="38100" t="38100" r="38100" b="31750"/>
                <wp:wrapNone/>
                <wp:docPr id="11" name="Ink 11"/>
                <wp:cNvGraphicFramePr/>
                <a:graphic xmlns:a="http://schemas.openxmlformats.org/drawingml/2006/main">
                  <a:graphicData uri="http://schemas.microsoft.com/office/word/2010/wordprocessingInk">
                    <w14:contentPart bwMode="auto" r:id="rId52">
                      <w14:nvContentPartPr>
                        <w14:cNvContentPartPr/>
                      </w14:nvContentPartPr>
                      <w14:xfrm>
                        <a:off x="0" y="0"/>
                        <a:ext cx="19200" cy="6480"/>
                      </w14:xfrm>
                    </w14:contentPart>
                  </a:graphicData>
                </a:graphic>
              </wp:anchor>
            </w:drawing>
          </mc:Choice>
          <mc:Fallback>
            <w:pict>
              <v:shape w14:anchorId="414CD4FE" id="Ink 11" o:spid="_x0000_s1026" type="#_x0000_t75" style="position:absolute;margin-left:701pt;margin-top:45.6pt;width:2.4pt;height:1.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">
                <v:imagedata r:id="rId53" o:title=""/>
              </v:shape>
            </w:pict>
          </mc:Fallback>
        </mc:AlternateContent>
      </w:r>
      <w:r>
        <w:rPr>
          <w:rFonts w:cs="Arial"/>
          <w:noProof/>
          <w:lang w:eastAsia="en-AU"/>
        </w:rPr>
        <mc:AlternateContent>
          <mc:Choice Requires="wpi">
            <w:drawing>
              <wp:anchor distT="0" distB="0" distL="114300" distR="114300" simplePos="0" relativeHeight="251675648" behindDoc="0" locked="0" layoutInCell="1" allowOverlap="1" wp14:anchorId="7B5274E1" wp14:editId="255AE2E9">
                <wp:simplePos x="0" y="0"/>
                <wp:positionH relativeFrom="column">
                  <wp:posOffset>8312140</wp:posOffset>
                </wp:positionH>
                <wp:positionV relativeFrom="paragraph">
                  <wp:posOffset>242540</wp:posOffset>
                </wp:positionV>
                <wp:extent cx="6480" cy="6480"/>
                <wp:effectExtent l="38100" t="38100" r="31750" b="31750"/>
                <wp:wrapNone/>
                <wp:docPr id="14" name="Ink 14"/>
                <wp:cNvGraphicFramePr/>
                <a:graphic xmlns:a="http://schemas.openxmlformats.org/drawingml/2006/main">
                  <a:graphicData uri="http://schemas.microsoft.com/office/word/2010/wordprocessingInk">
                    <w14:contentPart bwMode="auto" r:id="rId54">
                      <w14:nvContentPartPr>
                        <w14:cNvContentPartPr/>
                      </w14:nvContentPartPr>
                      <w14:xfrm>
                        <a:off x="0" y="0"/>
                        <a:ext cx="6480" cy="6480"/>
                      </w14:xfrm>
                    </w14:contentPart>
                  </a:graphicData>
                </a:graphic>
              </wp:anchor>
            </w:drawing>
          </mc:Choice>
          <mc:Fallback>
            <w:pict>
              <v:shape w14:anchorId="4668360C" id="Ink 14" o:spid="_x0000_s1026" type="#_x0000_t75" style="position:absolute;margin-left:654pt;margin-top:18.6pt;width:1.4pt;height:1.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">
                <v:imagedata r:id="rId55" o:title=""/>
              </v:shape>
            </w:pict>
          </mc:Fallback>
        </mc:AlternateContent>
      </w:r>
      <w:r w:rsidRPr="00715425">
        <w:rPr>
          <w:rFonts w:cs="Arial"/>
        </w:rPr>
        <w:t>The fo</w:t>
      </w:r>
      <w:r>
        <w:rPr>
          <w:rFonts w:cs="Arial"/>
        </w:rPr>
        <w:t>llowing examples have been provided by IMHA Advocates to demonstrate some of the work involved in providing advocacy services to consumers subject to compulsory treatment.</w:t>
      </w:r>
    </w:p>
    <w:p w14:paraId="29F6DE07" w14:textId="1F9E9FB5" w:rsidR="001F76DB" w:rsidRDefault="001F76DB" w:rsidP="00DF68B9">
      <w:pPr>
        <w:pStyle w:val="Heading9"/>
        <w:jc w:val="left"/>
      </w:pPr>
      <w:r>
        <w:t xml:space="preserve">Help to influence treatment and discharge decisions </w:t>
      </w:r>
    </w:p>
    <w:p w14:paraId="361CC49B" w14:textId="77777777" w:rsidR="001F76DB" w:rsidRDefault="001F76DB" w:rsidP="00DF68B9">
      <w:pPr>
        <w:tabs>
          <w:tab w:val="left" w:pos="2550"/>
        </w:tabs>
        <w:jc w:val="left"/>
        <w:rPr>
          <w:rFonts w:cs="Arial"/>
        </w:rPr>
      </w:pPr>
      <w:r>
        <w:rPr>
          <w:rFonts w:cs="Arial"/>
          <w:noProof/>
          <w:lang w:eastAsia="en-AU"/>
        </w:rPr>
        <mc:AlternateContent>
          <mc:Choice Requires="wpi">
            <w:drawing>
              <wp:anchor distT="0" distB="0" distL="114300" distR="114300" simplePos="0" relativeHeight="251681792" behindDoc="0" locked="0" layoutInCell="1" allowOverlap="1" wp14:anchorId="2B2D25FD" wp14:editId="7E172E3A">
                <wp:simplePos x="0" y="0"/>
                <wp:positionH relativeFrom="column">
                  <wp:posOffset>2990620</wp:posOffset>
                </wp:positionH>
                <wp:positionV relativeFrom="paragraph">
                  <wp:posOffset>109100</wp:posOffset>
                </wp:positionV>
                <wp:extent cx="12960" cy="19200"/>
                <wp:effectExtent l="38100" t="38100" r="44450" b="38100"/>
                <wp:wrapNone/>
                <wp:docPr id="17" name="Ink 17"/>
                <wp:cNvGraphicFramePr/>
                <a:graphic xmlns:a="http://schemas.openxmlformats.org/drawingml/2006/main">
                  <a:graphicData uri="http://schemas.microsoft.com/office/word/2010/wordprocessingInk">
                    <w14:contentPart bwMode="auto" r:id="rId56">
                      <w14:nvContentPartPr>
                        <w14:cNvContentPartPr/>
                      </w14:nvContentPartPr>
                      <w14:xfrm>
                        <a:off x="0" y="0"/>
                        <a:ext cx="12960" cy="19200"/>
                      </w14:xfrm>
                    </w14:contentPart>
                  </a:graphicData>
                </a:graphic>
              </wp:anchor>
            </w:drawing>
          </mc:Choice>
          <mc:Fallback>
            <w:pict>
              <v:shape w14:anchorId="592C4772" id="Ink 17" o:spid="_x0000_s1026" type="#_x0000_t75" style="position:absolute;margin-left:235pt;margin-top:8.1pt;width:1.95pt;height:2.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">
                <v:imagedata r:id="rId57" o:title=""/>
              </v:shape>
            </w:pict>
          </mc:Fallback>
        </mc:AlternateContent>
      </w:r>
      <w:r>
        <w:rPr>
          <w:rFonts w:cs="Arial"/>
          <w:noProof/>
          <w:lang w:eastAsia="en-AU"/>
        </w:rPr>
        <mc:AlternateContent>
          <mc:Choice Requires="wpi">
            <w:drawing>
              <wp:anchor distT="0" distB="0" distL="114300" distR="114300" simplePos="0" relativeHeight="251680768" behindDoc="0" locked="0" layoutInCell="1" allowOverlap="1" wp14:anchorId="5A5566AC" wp14:editId="1950BB37">
                <wp:simplePos x="0" y="0"/>
                <wp:positionH relativeFrom="column">
                  <wp:posOffset>8388220</wp:posOffset>
                </wp:positionH>
                <wp:positionV relativeFrom="paragraph">
                  <wp:posOffset>356780</wp:posOffset>
                </wp:positionV>
                <wp:extent cx="25680" cy="6480"/>
                <wp:effectExtent l="38100" t="38100" r="31750" b="31750"/>
                <wp:wrapNone/>
                <wp:docPr id="16" name="Ink 16"/>
                <wp:cNvGraphicFramePr/>
                <a:graphic xmlns:a="http://schemas.openxmlformats.org/drawingml/2006/main">
                  <a:graphicData uri="http://schemas.microsoft.com/office/word/2010/wordprocessingInk">
                    <w14:contentPart bwMode="auto" r:id="rId58">
                      <w14:nvContentPartPr>
                        <w14:cNvContentPartPr/>
                      </w14:nvContentPartPr>
                      <w14:xfrm>
                        <a:off x="0" y="0"/>
                        <a:ext cx="25680" cy="6480"/>
                      </w14:xfrm>
                    </w14:contentPart>
                  </a:graphicData>
                </a:graphic>
              </wp:anchor>
            </w:drawing>
          </mc:Choice>
          <mc:Fallback>
            <w:pict>
              <v:shape w14:anchorId="6F8A70A3" id="Ink 16" o:spid="_x0000_s1026" type="#_x0000_t75" style="position:absolute;margin-left:660pt;margin-top:27.6pt;width:2.95pt;height:1.4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">
                <v:imagedata r:id="rId59" o:title=""/>
              </v:shape>
            </w:pict>
          </mc:Fallback>
        </mc:AlternateContent>
      </w:r>
      <w:r w:rsidRPr="001043EC">
        <w:rPr>
          <w:rFonts w:cs="Arial"/>
        </w:rPr>
        <w:t xml:space="preserve">A </w:t>
      </w:r>
      <w:r>
        <w:rPr>
          <w:rFonts w:cs="Arial"/>
        </w:rPr>
        <w:t xml:space="preserve">49-year-old woman born overseas contacted an IMHA advocate at an Acute Inpatient Unit after the advocate gave a regular information session in the Unit. While living alone in her own home the woman had been placed on a Temporary Treatment Inpatient Order and was seeking information about her rights regarding discharge. She expressed concerns about changes being made to her medication without consultation and was frustrated that her requests to meet with her psychiatrist to discuss medication options were not being responded to. Additionally, the woman had </w:t>
      </w:r>
      <w:proofErr w:type="gramStart"/>
      <w:r>
        <w:rPr>
          <w:rFonts w:cs="Arial"/>
        </w:rPr>
        <w:t>concerns</w:t>
      </w:r>
      <w:proofErr w:type="gramEnd"/>
      <w:r>
        <w:rPr>
          <w:rFonts w:cs="Arial"/>
        </w:rPr>
        <w:t xml:space="preserve"> that staff were recording that she was “refusing medication” and were seeking to involve her family in decisions about her treatment, against her wishes.  </w:t>
      </w:r>
    </w:p>
    <w:p w14:paraId="08AF41B5" w14:textId="77777777" w:rsidR="001F76DB" w:rsidRPr="00613136" w:rsidRDefault="001F76DB" w:rsidP="00DF68B9">
      <w:pPr>
        <w:tabs>
          <w:tab w:val="left" w:pos="2550"/>
        </w:tabs>
        <w:jc w:val="left"/>
        <w:rPr>
          <w:rFonts w:cs="Arial"/>
          <w:i/>
        </w:rPr>
      </w:pPr>
      <w:r w:rsidRPr="00613136">
        <w:rPr>
          <w:rFonts w:cs="Arial"/>
          <w:i/>
        </w:rPr>
        <w:t xml:space="preserve">Service provided and outcomes </w:t>
      </w:r>
    </w:p>
    <w:p w14:paraId="46787699" w14:textId="77777777" w:rsidR="001F76DB" w:rsidRPr="000C5280" w:rsidRDefault="001F76DB" w:rsidP="004E007C">
      <w:pPr>
        <w:pStyle w:val="ListParagraph"/>
        <w:numPr>
          <w:ilvl w:val="0"/>
          <w:numId w:val="13"/>
        </w:numPr>
        <w:tabs>
          <w:tab w:val="left" w:pos="2550"/>
        </w:tabs>
        <w:spacing w:line="259" w:lineRule="auto"/>
        <w:jc w:val="left"/>
        <w:rPr>
          <w:rFonts w:cs="Arial"/>
        </w:rPr>
      </w:pPr>
      <w:r>
        <w:rPr>
          <w:rFonts w:cs="Arial"/>
          <w:b/>
        </w:rPr>
        <w:t>Coaching to</w:t>
      </w:r>
      <w:r w:rsidRPr="000C5280">
        <w:rPr>
          <w:rFonts w:cs="Arial"/>
          <w:b/>
        </w:rPr>
        <w:t xml:space="preserve"> </w:t>
      </w:r>
      <w:r>
        <w:rPr>
          <w:rFonts w:cs="Arial"/>
          <w:b/>
        </w:rPr>
        <w:t>Self-Advocate</w:t>
      </w:r>
      <w:r w:rsidRPr="000C5280">
        <w:rPr>
          <w:rFonts w:cs="Arial"/>
        </w:rPr>
        <w:t xml:space="preserve"> – Outline of the mental health system and coaching for self-advocacy by advocate, </w:t>
      </w:r>
      <w:r>
        <w:rPr>
          <w:rFonts w:cs="Arial"/>
        </w:rPr>
        <w:t>using</w:t>
      </w:r>
      <w:r w:rsidRPr="000C5280">
        <w:rPr>
          <w:rFonts w:cs="Arial"/>
        </w:rPr>
        <w:t xml:space="preserve"> IMHA</w:t>
      </w:r>
      <w:r>
        <w:rPr>
          <w:rFonts w:cs="Arial"/>
        </w:rPr>
        <w:t>’s</w:t>
      </w:r>
      <w:r w:rsidRPr="000C5280">
        <w:rPr>
          <w:rFonts w:cs="Arial"/>
        </w:rPr>
        <w:t xml:space="preserve"> “Know Your Rights” brochure.  </w:t>
      </w:r>
    </w:p>
    <w:p w14:paraId="166AAE1E" w14:textId="77777777" w:rsidR="001F76DB" w:rsidRPr="000C5280" w:rsidRDefault="001F76DB" w:rsidP="004E007C">
      <w:pPr>
        <w:pStyle w:val="ListParagraph"/>
        <w:numPr>
          <w:ilvl w:val="0"/>
          <w:numId w:val="13"/>
        </w:numPr>
        <w:tabs>
          <w:tab w:val="left" w:pos="2550"/>
        </w:tabs>
        <w:spacing w:before="240" w:after="120" w:line="300" w:lineRule="atLeast"/>
        <w:jc w:val="left"/>
        <w:rPr>
          <w:rFonts w:cs="Arial"/>
        </w:rPr>
      </w:pPr>
      <w:r w:rsidRPr="000C5280">
        <w:rPr>
          <w:rFonts w:cs="Arial"/>
          <w:b/>
        </w:rPr>
        <w:t xml:space="preserve">Information </w:t>
      </w:r>
      <w:r w:rsidRPr="000C5280">
        <w:rPr>
          <w:rFonts w:cs="Arial"/>
        </w:rPr>
        <w:t xml:space="preserve">– Outline of supported decision-making tools such as making an Advance Statement and how to appoint a Nominated Person.  Discussed the treatment criteria associated with compulsory treatment orders, role of the mental health tribunal and how to seek revocation of a treatment order, right to seek legal advice and/or representation. </w:t>
      </w:r>
    </w:p>
    <w:p w14:paraId="15A662E8" w14:textId="77777777" w:rsidR="001F76DB" w:rsidRPr="000C5280" w:rsidRDefault="001F76DB" w:rsidP="004E007C">
      <w:pPr>
        <w:pStyle w:val="ListParagraph"/>
        <w:numPr>
          <w:ilvl w:val="0"/>
          <w:numId w:val="13"/>
        </w:numPr>
        <w:spacing w:after="240" w:line="240" w:lineRule="auto"/>
        <w:ind w:left="714" w:hanging="357"/>
        <w:contextualSpacing w:val="0"/>
        <w:jc w:val="left"/>
        <w:rPr>
          <w:rStyle w:val="normaltextrun1"/>
          <w:rFonts w:cs="Arial"/>
        </w:rPr>
      </w:pPr>
      <w:r w:rsidRPr="000C5280">
        <w:rPr>
          <w:rFonts w:cs="Arial"/>
          <w:b/>
        </w:rPr>
        <w:t xml:space="preserve">Outcomes </w:t>
      </w:r>
      <w:r>
        <w:rPr>
          <w:rFonts w:cs="Arial"/>
        </w:rPr>
        <w:t>–</w:t>
      </w:r>
      <w:r w:rsidRPr="000C5280">
        <w:rPr>
          <w:rFonts w:cs="Arial"/>
        </w:rPr>
        <w:t xml:space="preserve"> </w:t>
      </w:r>
      <w:r>
        <w:rPr>
          <w:rFonts w:cs="Arial"/>
        </w:rPr>
        <w:t xml:space="preserve">The </w:t>
      </w:r>
      <w:r w:rsidRPr="000C5280">
        <w:rPr>
          <w:rStyle w:val="normaltextrun1"/>
          <w:rFonts w:cs="Arial"/>
        </w:rPr>
        <w:t xml:space="preserve">Consumer met with her psychiatrist and self-advocated. </w:t>
      </w:r>
      <w:r>
        <w:rPr>
          <w:rStyle w:val="normaltextrun1"/>
          <w:rFonts w:cs="Arial"/>
        </w:rPr>
        <w:t xml:space="preserve">She </w:t>
      </w:r>
      <w:r w:rsidRPr="000C5280">
        <w:rPr>
          <w:rStyle w:val="normaltextrun1"/>
          <w:rFonts w:cs="Arial"/>
        </w:rPr>
        <w:t>used IMHAs "Know Your Rights"</w:t>
      </w:r>
      <w:r>
        <w:rPr>
          <w:rStyle w:val="normaltextrun1"/>
          <w:rFonts w:cs="Arial"/>
        </w:rPr>
        <w:t xml:space="preserve"> </w:t>
      </w:r>
      <w:r w:rsidRPr="000C5280">
        <w:rPr>
          <w:rStyle w:val="normaltextrun1"/>
          <w:rFonts w:cs="Arial"/>
        </w:rPr>
        <w:t>fact sheet and advocated that she ha</w:t>
      </w:r>
      <w:r>
        <w:rPr>
          <w:rStyle w:val="normaltextrun1"/>
          <w:rFonts w:cs="Arial"/>
        </w:rPr>
        <w:t>d</w:t>
      </w:r>
      <w:r w:rsidRPr="000C5280">
        <w:rPr>
          <w:rStyle w:val="normaltextrun1"/>
          <w:rFonts w:cs="Arial"/>
        </w:rPr>
        <w:t xml:space="preserve"> time to talk to her doctor about medications and to be discharged to enable less restrictive treatment in the community. The consumer said her doctor agreed this was reasonable and acknowledged </w:t>
      </w:r>
      <w:r>
        <w:rPr>
          <w:rStyle w:val="normaltextrun1"/>
          <w:rFonts w:cs="Arial"/>
        </w:rPr>
        <w:t>the consumer’s rights to influence her treatment</w:t>
      </w:r>
      <w:r w:rsidRPr="000C5280">
        <w:rPr>
          <w:rStyle w:val="normaltextrun1"/>
          <w:rFonts w:cs="Arial"/>
        </w:rPr>
        <w:t xml:space="preserve">.  </w:t>
      </w:r>
      <w:r>
        <w:rPr>
          <w:rStyle w:val="normaltextrun1"/>
          <w:rFonts w:cs="Arial"/>
        </w:rPr>
        <w:t>The c</w:t>
      </w:r>
      <w:r w:rsidRPr="000C5280">
        <w:rPr>
          <w:rStyle w:val="normaltextrun1"/>
          <w:rFonts w:cs="Arial"/>
        </w:rPr>
        <w:t>onsumer was discharged</w:t>
      </w:r>
      <w:r>
        <w:rPr>
          <w:rStyle w:val="normaltextrun1"/>
          <w:rFonts w:cs="Arial"/>
        </w:rPr>
        <w:t xml:space="preserve"> on</w:t>
      </w:r>
      <w:r w:rsidRPr="000C5280">
        <w:rPr>
          <w:rStyle w:val="normaltextrun1"/>
          <w:rFonts w:cs="Arial"/>
        </w:rPr>
        <w:t xml:space="preserve"> the same day</w:t>
      </w:r>
      <w:r>
        <w:rPr>
          <w:rStyle w:val="normaltextrun1"/>
          <w:rFonts w:cs="Arial"/>
        </w:rPr>
        <w:t>.</w:t>
      </w:r>
    </w:p>
    <w:p w14:paraId="2361AA50" w14:textId="578F26BB" w:rsidR="001F76DB" w:rsidRDefault="001F76DB" w:rsidP="00DF68B9">
      <w:pPr>
        <w:jc w:val="left"/>
      </w:pPr>
      <w:r>
        <w:rPr>
          <w:noProof/>
          <w:lang w:eastAsia="en-AU"/>
        </w:rPr>
        <w:drawing>
          <wp:inline distT="0" distB="0" distL="0" distR="0" wp14:anchorId="41313FC1" wp14:editId="633024DF">
            <wp:extent cx="4246609" cy="1949127"/>
            <wp:effectExtent l="0" t="0" r="1905" b="0"/>
            <wp:docPr id="15" name="Picture 15" descr="Another quote from a consumer: &quot;Job well done! You listen to client concerns and are helpful to bring about the best possible outcome and offer advice as to how to procure this and mention what other services can he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l9197\AppData\Local\Microsoft\Windows\INetCacheContent.Word\Capture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68768" cy="1959298"/>
                    </a:xfrm>
                    <a:prstGeom prst="rect">
                      <a:avLst/>
                    </a:prstGeom>
                    <a:noFill/>
                    <a:ln>
                      <a:noFill/>
                    </a:ln>
                  </pic:spPr>
                </pic:pic>
              </a:graphicData>
            </a:graphic>
          </wp:inline>
        </w:drawing>
      </w:r>
    </w:p>
    <w:p w14:paraId="29CDA755" w14:textId="47929761" w:rsidR="001F76DB" w:rsidRDefault="001F76DB" w:rsidP="00DF68B9">
      <w:pPr>
        <w:pStyle w:val="Heading9"/>
        <w:keepNext/>
        <w:jc w:val="left"/>
      </w:pPr>
      <w:r>
        <w:lastRenderedPageBreak/>
        <w:t xml:space="preserve">Assisting to cease </w:t>
      </w:r>
      <w:r w:rsidRPr="003B6775">
        <w:t>unwanted</w:t>
      </w:r>
      <w:r>
        <w:t xml:space="preserve"> treatment </w:t>
      </w:r>
    </w:p>
    <w:p w14:paraId="657490CD" w14:textId="2207436C" w:rsidR="001F76DB" w:rsidRPr="001F76DB" w:rsidRDefault="001F76DB" w:rsidP="00DF68B9">
      <w:pPr>
        <w:tabs>
          <w:tab w:val="left" w:pos="2550"/>
        </w:tabs>
        <w:jc w:val="left"/>
        <w:rPr>
          <w:rFonts w:cs="Arial"/>
        </w:rPr>
      </w:pPr>
      <w:r>
        <w:rPr>
          <w:rFonts w:cs="Arial"/>
        </w:rPr>
        <w:t xml:space="preserve">A 51-year-old Australian born woman contacted IMHA after another consumer in the inpatient unit told her about the service. The woman had been on an </w:t>
      </w:r>
      <w:r w:rsidRPr="003B35DF">
        <w:rPr>
          <w:rFonts w:cs="Arial"/>
        </w:rPr>
        <w:t>Inpatient Treatment Order</w:t>
      </w:r>
      <w:r>
        <w:rPr>
          <w:rFonts w:cs="Arial"/>
        </w:rPr>
        <w:t xml:space="preserve"> for a few weeks and was concurrently experiencing complex physical health issues.</w:t>
      </w:r>
      <w:r w:rsidRPr="003B35DF">
        <w:rPr>
          <w:rFonts w:cs="Arial"/>
        </w:rPr>
        <w:t xml:space="preserve"> She was seeking </w:t>
      </w:r>
      <w:r>
        <w:rPr>
          <w:rFonts w:cs="Arial"/>
        </w:rPr>
        <w:t>help to stop</w:t>
      </w:r>
      <w:r w:rsidRPr="003B35DF">
        <w:rPr>
          <w:rFonts w:cs="Arial"/>
        </w:rPr>
        <w:t xml:space="preserve"> </w:t>
      </w:r>
      <w:r>
        <w:rPr>
          <w:rFonts w:cs="Arial"/>
        </w:rPr>
        <w:t>upcoming sessions of</w:t>
      </w:r>
      <w:r w:rsidRPr="003B35DF">
        <w:rPr>
          <w:rFonts w:cs="Arial"/>
        </w:rPr>
        <w:t xml:space="preserve"> </w:t>
      </w:r>
      <w:r>
        <w:rPr>
          <w:rFonts w:cs="Arial"/>
        </w:rPr>
        <w:t>Electroconvulsive therapy (ECT)</w:t>
      </w:r>
      <w:r w:rsidRPr="003B35DF">
        <w:rPr>
          <w:rFonts w:cs="Arial"/>
        </w:rPr>
        <w:t xml:space="preserve"> as she </w:t>
      </w:r>
      <w:r>
        <w:rPr>
          <w:rFonts w:cs="Arial"/>
        </w:rPr>
        <w:t xml:space="preserve">already </w:t>
      </w:r>
      <w:r w:rsidRPr="003B35DF">
        <w:rPr>
          <w:rFonts w:cs="Arial"/>
        </w:rPr>
        <w:t xml:space="preserve">had </w:t>
      </w:r>
      <w:r>
        <w:rPr>
          <w:rFonts w:cs="Arial"/>
        </w:rPr>
        <w:t xml:space="preserve">undergone </w:t>
      </w:r>
      <w:r w:rsidRPr="003B35DF">
        <w:rPr>
          <w:rFonts w:cs="Arial"/>
        </w:rPr>
        <w:t>several sessions and was scheduled for more</w:t>
      </w:r>
      <w:r>
        <w:rPr>
          <w:rFonts w:cs="Arial"/>
        </w:rPr>
        <w:t>. The sessions had been ordered</w:t>
      </w:r>
      <w:r w:rsidRPr="003B35DF">
        <w:rPr>
          <w:rFonts w:cs="Arial"/>
        </w:rPr>
        <w:t xml:space="preserve"> by the</w:t>
      </w:r>
      <w:r>
        <w:rPr>
          <w:rFonts w:cs="Arial"/>
        </w:rPr>
        <w:t xml:space="preserve"> Mental Health</w:t>
      </w:r>
      <w:r w:rsidRPr="003B35DF">
        <w:rPr>
          <w:rFonts w:cs="Arial"/>
        </w:rPr>
        <w:t xml:space="preserve"> </w:t>
      </w:r>
      <w:r>
        <w:rPr>
          <w:rFonts w:cs="Arial"/>
        </w:rPr>
        <w:t>T</w:t>
      </w:r>
      <w:r w:rsidRPr="003B35DF">
        <w:rPr>
          <w:rFonts w:cs="Arial"/>
        </w:rPr>
        <w:t>ribunal, however she felt she did not require any more</w:t>
      </w:r>
      <w:r>
        <w:rPr>
          <w:rFonts w:cs="Arial"/>
        </w:rPr>
        <w:t xml:space="preserve"> and was distressed by</w:t>
      </w:r>
      <w:r w:rsidRPr="003B35DF">
        <w:rPr>
          <w:rFonts w:cs="Arial"/>
        </w:rPr>
        <w:t xml:space="preserve"> the </w:t>
      </w:r>
      <w:r>
        <w:rPr>
          <w:rFonts w:cs="Arial"/>
        </w:rPr>
        <w:t>side effects</w:t>
      </w:r>
      <w:r w:rsidRPr="003B35DF">
        <w:rPr>
          <w:rFonts w:cs="Arial"/>
        </w:rPr>
        <w:t xml:space="preserve"> of ECT including </w:t>
      </w:r>
      <w:r>
        <w:rPr>
          <w:rFonts w:cs="Arial"/>
        </w:rPr>
        <w:t xml:space="preserve">significant </w:t>
      </w:r>
      <w:r w:rsidRPr="003B35DF">
        <w:rPr>
          <w:rFonts w:cs="Arial"/>
        </w:rPr>
        <w:t>memory</w:t>
      </w:r>
      <w:r>
        <w:rPr>
          <w:rFonts w:cs="Arial"/>
        </w:rPr>
        <w:t xml:space="preserve"> and cognition problems</w:t>
      </w:r>
      <w:r w:rsidRPr="003B35DF">
        <w:rPr>
          <w:rFonts w:cs="Arial"/>
        </w:rPr>
        <w:t xml:space="preserve">, </w:t>
      </w:r>
      <w:r>
        <w:rPr>
          <w:rFonts w:cs="Arial"/>
        </w:rPr>
        <w:t xml:space="preserve">concerns about the impact on </w:t>
      </w:r>
      <w:r w:rsidRPr="003B35DF">
        <w:rPr>
          <w:rFonts w:cs="Arial"/>
        </w:rPr>
        <w:t xml:space="preserve">her veins as they were compromised from </w:t>
      </w:r>
      <w:r>
        <w:rPr>
          <w:rFonts w:cs="Arial"/>
        </w:rPr>
        <w:t xml:space="preserve">pre-existing </w:t>
      </w:r>
      <w:r w:rsidRPr="003B35DF">
        <w:rPr>
          <w:rFonts w:cs="Arial"/>
        </w:rPr>
        <w:t>health conditions, and significant headaches.</w:t>
      </w:r>
      <w:r>
        <w:rPr>
          <w:rFonts w:cs="Arial"/>
        </w:rPr>
        <w:t xml:space="preserve"> The woman’s preference was to stop doing ECT.</w:t>
      </w:r>
    </w:p>
    <w:p w14:paraId="43E3F27F" w14:textId="77777777" w:rsidR="001F76DB" w:rsidRPr="00613136" w:rsidRDefault="001F76DB" w:rsidP="00DF68B9">
      <w:pPr>
        <w:tabs>
          <w:tab w:val="left" w:pos="2550"/>
        </w:tabs>
        <w:jc w:val="left"/>
        <w:rPr>
          <w:rFonts w:cs="Arial"/>
          <w:i/>
        </w:rPr>
      </w:pPr>
      <w:r w:rsidRPr="00613136">
        <w:rPr>
          <w:rFonts w:cs="Arial"/>
          <w:i/>
        </w:rPr>
        <w:t xml:space="preserve">Service provided and outcomes </w:t>
      </w:r>
    </w:p>
    <w:p w14:paraId="1ADACCCD" w14:textId="77777777" w:rsidR="001F76DB" w:rsidRPr="003B35DF" w:rsidRDefault="001F76DB" w:rsidP="004E007C">
      <w:pPr>
        <w:pStyle w:val="ListParagraph"/>
        <w:numPr>
          <w:ilvl w:val="0"/>
          <w:numId w:val="13"/>
        </w:numPr>
        <w:tabs>
          <w:tab w:val="left" w:pos="2550"/>
        </w:tabs>
        <w:spacing w:line="259" w:lineRule="auto"/>
        <w:jc w:val="left"/>
        <w:rPr>
          <w:rFonts w:cs="Arial"/>
        </w:rPr>
      </w:pPr>
      <w:r w:rsidRPr="00613136">
        <w:rPr>
          <w:rFonts w:cs="Arial"/>
          <w:b/>
        </w:rPr>
        <w:t>Information</w:t>
      </w:r>
      <w:r>
        <w:rPr>
          <w:rFonts w:cs="Arial"/>
        </w:rPr>
        <w:t xml:space="preserve">– The advocate provided the woman with information about ECT and the guidelines that, even if ordered by the Tribunal, </w:t>
      </w:r>
      <w:r w:rsidRPr="003B35DF">
        <w:rPr>
          <w:rFonts w:cs="Arial"/>
        </w:rPr>
        <w:t>her capacity need</w:t>
      </w:r>
      <w:r>
        <w:rPr>
          <w:rFonts w:cs="Arial"/>
        </w:rPr>
        <w:t>ed</w:t>
      </w:r>
      <w:r w:rsidRPr="003B35DF">
        <w:rPr>
          <w:rFonts w:cs="Arial"/>
        </w:rPr>
        <w:t xml:space="preserve"> to be assessed before each </w:t>
      </w:r>
      <w:r>
        <w:rPr>
          <w:rFonts w:cs="Arial"/>
        </w:rPr>
        <w:t>session</w:t>
      </w:r>
      <w:r w:rsidRPr="003B35DF">
        <w:rPr>
          <w:rFonts w:cs="Arial"/>
        </w:rPr>
        <w:t xml:space="preserve"> of ECT.</w:t>
      </w:r>
    </w:p>
    <w:p w14:paraId="56EFA612" w14:textId="77777777" w:rsidR="001F76DB" w:rsidRDefault="001F76DB" w:rsidP="004E007C">
      <w:pPr>
        <w:pStyle w:val="ListParagraph"/>
        <w:numPr>
          <w:ilvl w:val="0"/>
          <w:numId w:val="13"/>
        </w:numPr>
        <w:tabs>
          <w:tab w:val="left" w:pos="2550"/>
        </w:tabs>
        <w:spacing w:line="259" w:lineRule="auto"/>
        <w:jc w:val="left"/>
        <w:rPr>
          <w:rFonts w:cs="Arial"/>
        </w:rPr>
      </w:pPr>
      <w:r w:rsidRPr="00613136">
        <w:rPr>
          <w:rFonts w:cs="Arial"/>
          <w:b/>
        </w:rPr>
        <w:t xml:space="preserve">Referrals </w:t>
      </w:r>
      <w:r>
        <w:rPr>
          <w:rFonts w:cs="Arial"/>
        </w:rPr>
        <w:t>– the Advocate referred the consumer to Victoria Legal Aid’s Mental Health Disability Legal (MHDL) team who explained the legal understanding of capacity to the woman and further encouraged her to ask her doctor for an immediate assessment of capacity. Furthermore, they advised that If ECT was not ceased, MHDL would appeal to VCAT on her behalf.</w:t>
      </w:r>
    </w:p>
    <w:p w14:paraId="42C2D2F6" w14:textId="77777777" w:rsidR="001F76DB" w:rsidRDefault="001F76DB" w:rsidP="004E007C">
      <w:pPr>
        <w:pStyle w:val="ListParagraph"/>
        <w:numPr>
          <w:ilvl w:val="0"/>
          <w:numId w:val="13"/>
        </w:numPr>
        <w:tabs>
          <w:tab w:val="left" w:pos="2550"/>
        </w:tabs>
        <w:spacing w:line="259" w:lineRule="auto"/>
        <w:jc w:val="left"/>
        <w:rPr>
          <w:rFonts w:cs="Arial"/>
        </w:rPr>
      </w:pPr>
      <w:r w:rsidRPr="00613136">
        <w:rPr>
          <w:rFonts w:cs="Arial"/>
          <w:b/>
        </w:rPr>
        <w:t>Representational Advocacy</w:t>
      </w:r>
      <w:r>
        <w:rPr>
          <w:rFonts w:cs="Arial"/>
        </w:rPr>
        <w:t xml:space="preserve"> – IMHA’s Advocate spoke with the Consultant about the woman’s preferences. Initially the Consultant was reluctant to stop the ECT sessions stating that the woman’s side effects could be mitigated with pain killers. With the consumer’s consent the Advocate discussed her capacity with the Consultant and requested a written copy of the assessment.</w:t>
      </w:r>
    </w:p>
    <w:p w14:paraId="4723F9B7" w14:textId="77777777" w:rsidR="001F76DB" w:rsidRDefault="001F76DB" w:rsidP="00DF68B9">
      <w:pPr>
        <w:tabs>
          <w:tab w:val="left" w:pos="709"/>
        </w:tabs>
        <w:jc w:val="left"/>
        <w:rPr>
          <w:rFonts w:cs="Arial"/>
        </w:rPr>
      </w:pPr>
      <w:r w:rsidRPr="00850E14">
        <w:rPr>
          <w:rFonts w:cs="Arial"/>
          <w:b/>
        </w:rPr>
        <w:t xml:space="preserve">Outcome - </w:t>
      </w:r>
      <w:r w:rsidRPr="00850E14">
        <w:rPr>
          <w:rFonts w:cs="Arial"/>
        </w:rPr>
        <w:t xml:space="preserve">The next day, </w:t>
      </w:r>
      <w:r>
        <w:rPr>
          <w:rFonts w:cs="Arial"/>
        </w:rPr>
        <w:t>before</w:t>
      </w:r>
      <w:r w:rsidRPr="00850E14">
        <w:rPr>
          <w:rFonts w:cs="Arial"/>
        </w:rPr>
        <w:t xml:space="preserve"> her scheduled ECT, the</w:t>
      </w:r>
      <w:r>
        <w:rPr>
          <w:rFonts w:cs="Arial"/>
        </w:rPr>
        <w:t xml:space="preserve"> woman’s capacity was assessed leading to a finding that</w:t>
      </w:r>
      <w:r w:rsidRPr="00850E14">
        <w:rPr>
          <w:rFonts w:cs="Arial"/>
        </w:rPr>
        <w:t xml:space="preserve"> that ECT would not be administered, as</w:t>
      </w:r>
      <w:r>
        <w:rPr>
          <w:rFonts w:cs="Arial"/>
        </w:rPr>
        <w:t xml:space="preserve"> she had regained the capacity to make decisions about </w:t>
      </w:r>
      <w:r w:rsidRPr="00850E14">
        <w:rPr>
          <w:rFonts w:cs="Arial"/>
        </w:rPr>
        <w:t xml:space="preserve">her preferences. </w:t>
      </w:r>
    </w:p>
    <w:p w14:paraId="5DC637A2" w14:textId="11A41572" w:rsidR="001F76DB" w:rsidRDefault="001F76DB" w:rsidP="00DF68B9">
      <w:pPr>
        <w:tabs>
          <w:tab w:val="left" w:pos="709"/>
        </w:tabs>
        <w:jc w:val="left"/>
        <w:rPr>
          <w:rFonts w:cs="Arial"/>
        </w:rPr>
      </w:pPr>
      <w:r w:rsidRPr="00850E14">
        <w:rPr>
          <w:rFonts w:cs="Arial"/>
          <w:b/>
        </w:rPr>
        <w:t xml:space="preserve">Coaching to </w:t>
      </w:r>
      <w:r>
        <w:rPr>
          <w:rFonts w:cs="Arial"/>
          <w:b/>
        </w:rPr>
        <w:t>S</w:t>
      </w:r>
      <w:r w:rsidRPr="00850E14">
        <w:rPr>
          <w:rFonts w:cs="Arial"/>
          <w:b/>
        </w:rPr>
        <w:t>elf</w:t>
      </w:r>
      <w:r>
        <w:rPr>
          <w:rFonts w:cs="Arial"/>
          <w:b/>
        </w:rPr>
        <w:t>-Advocate</w:t>
      </w:r>
      <w:r w:rsidRPr="00850E14">
        <w:rPr>
          <w:rFonts w:cs="Arial"/>
          <w:b/>
        </w:rPr>
        <w:t xml:space="preserve"> </w:t>
      </w:r>
      <w:r>
        <w:rPr>
          <w:rFonts w:cs="Arial"/>
          <w:b/>
        </w:rPr>
        <w:t>–</w:t>
      </w:r>
      <w:r w:rsidRPr="00850E14">
        <w:rPr>
          <w:rFonts w:cs="Arial"/>
          <w:b/>
        </w:rPr>
        <w:t xml:space="preserve"> </w:t>
      </w:r>
      <w:r w:rsidRPr="007C57CE">
        <w:rPr>
          <w:rFonts w:cs="Arial"/>
        </w:rPr>
        <w:t>Following this outcome, the consumer wanted to have leave from the unit</w:t>
      </w:r>
      <w:r>
        <w:rPr>
          <w:rFonts w:cs="Arial"/>
        </w:rPr>
        <w:t>.</w:t>
      </w:r>
      <w:r>
        <w:rPr>
          <w:rFonts w:cs="Arial"/>
          <w:b/>
        </w:rPr>
        <w:t xml:space="preserve"> </w:t>
      </w:r>
      <w:r w:rsidRPr="00850E14">
        <w:rPr>
          <w:rFonts w:cs="Arial"/>
        </w:rPr>
        <w:t xml:space="preserve">The advocate provided </w:t>
      </w:r>
      <w:r>
        <w:rPr>
          <w:rFonts w:cs="Arial"/>
        </w:rPr>
        <w:t xml:space="preserve">her with </w:t>
      </w:r>
      <w:r w:rsidRPr="00850E14">
        <w:rPr>
          <w:rFonts w:cs="Arial"/>
        </w:rPr>
        <w:t xml:space="preserve">the phrases </w:t>
      </w:r>
      <w:r>
        <w:rPr>
          <w:rFonts w:cs="Arial"/>
        </w:rPr>
        <w:t>she could use</w:t>
      </w:r>
      <w:r w:rsidRPr="00850E14">
        <w:rPr>
          <w:rFonts w:cs="Arial"/>
        </w:rPr>
        <w:t xml:space="preserve"> when having the discussion and evidence she wanted to use to support her request. </w:t>
      </w:r>
      <w:r>
        <w:rPr>
          <w:rFonts w:cs="Arial"/>
        </w:rPr>
        <w:t>Using this coaching in practice, the consumer was granted leave.</w:t>
      </w:r>
    </w:p>
    <w:p w14:paraId="5ED77AF9" w14:textId="2F8C4DF9" w:rsidR="001F76DB" w:rsidRDefault="001F76DB" w:rsidP="00DF68B9">
      <w:pPr>
        <w:tabs>
          <w:tab w:val="left" w:pos="709"/>
        </w:tabs>
        <w:jc w:val="left"/>
        <w:rPr>
          <w:rFonts w:cs="Arial"/>
        </w:rPr>
      </w:pPr>
      <w:r w:rsidRPr="007322CF">
        <w:rPr>
          <w:rFonts w:eastAsiaTheme="minorEastAsia" w:cs="Arial"/>
          <w:b/>
          <w:noProof/>
          <w:lang w:eastAsia="en-AU"/>
        </w:rPr>
        <w:lastRenderedPageBreak/>
        <w:drawing>
          <wp:inline distT="0" distB="0" distL="0" distR="0" wp14:anchorId="01F653F7" wp14:editId="3FEF52D7">
            <wp:extent cx="3764293" cy="2032000"/>
            <wp:effectExtent l="0" t="0" r="7620" b="6350"/>
            <wp:docPr id="25" name="Picture 25" descr="Quote from a consumer: &quot;I don't think I could have got through all of this if it wasn't for you, I'm really speechless. Your help would help anyone in my position to move forward with their lives, you're the best help I've ha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01_IMHA_twitter_graphics_v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807548" cy="2055350"/>
                    </a:xfrm>
                    <a:prstGeom prst="rect">
                      <a:avLst/>
                    </a:prstGeom>
                  </pic:spPr>
                </pic:pic>
              </a:graphicData>
            </a:graphic>
          </wp:inline>
        </w:drawing>
      </w:r>
    </w:p>
    <w:p w14:paraId="34981AC1" w14:textId="636715F1" w:rsidR="001F76DB" w:rsidRDefault="001F76DB" w:rsidP="00DF68B9">
      <w:pPr>
        <w:pStyle w:val="Heading9"/>
        <w:jc w:val="left"/>
      </w:pPr>
      <w:r>
        <w:t>Supporting consumers to exercise their rights under the Mental Health Act</w:t>
      </w:r>
    </w:p>
    <w:p w14:paraId="3A454B75" w14:textId="77777777" w:rsidR="001F76DB" w:rsidRPr="00B65F0A" w:rsidRDefault="001F76DB" w:rsidP="00DF68B9">
      <w:pPr>
        <w:jc w:val="left"/>
        <w:rPr>
          <w:rFonts w:cs="Arial"/>
        </w:rPr>
      </w:pPr>
      <w:r w:rsidRPr="00B65F0A">
        <w:rPr>
          <w:rFonts w:cs="Arial"/>
        </w:rPr>
        <w:t xml:space="preserve">A 44-year-old woman with </w:t>
      </w:r>
      <w:r>
        <w:rPr>
          <w:rFonts w:cs="Arial"/>
        </w:rPr>
        <w:t>an</w:t>
      </w:r>
      <w:r w:rsidRPr="00B65F0A">
        <w:rPr>
          <w:rFonts w:cs="Arial"/>
        </w:rPr>
        <w:t xml:space="preserve"> adult child contacted </w:t>
      </w:r>
      <w:r>
        <w:rPr>
          <w:rFonts w:cs="Arial"/>
        </w:rPr>
        <w:t xml:space="preserve">the </w:t>
      </w:r>
      <w:r w:rsidRPr="00B65F0A">
        <w:rPr>
          <w:rFonts w:cs="Arial"/>
        </w:rPr>
        <w:t xml:space="preserve">IMHA phone line to seek </w:t>
      </w:r>
      <w:r>
        <w:rPr>
          <w:rFonts w:cs="Arial"/>
        </w:rPr>
        <w:t>help</w:t>
      </w:r>
      <w:r w:rsidRPr="00B65F0A">
        <w:rPr>
          <w:rFonts w:cs="Arial"/>
        </w:rPr>
        <w:t xml:space="preserve">. The woman was on a Temporary Treatment Order and seeking advocacy </w:t>
      </w:r>
      <w:r w:rsidRPr="00B65F0A">
        <w:rPr>
          <w:rFonts w:eastAsia="Arial" w:cs="Arial"/>
        </w:rPr>
        <w:t>around treatment</w:t>
      </w:r>
      <w:r>
        <w:rPr>
          <w:rFonts w:eastAsia="Arial" w:cs="Arial"/>
        </w:rPr>
        <w:t>.</w:t>
      </w:r>
      <w:r w:rsidRPr="00B65F0A">
        <w:rPr>
          <w:rFonts w:eastAsia="Arial" w:cs="Arial"/>
        </w:rPr>
        <w:t xml:space="preserve"> </w:t>
      </w:r>
      <w:r>
        <w:rPr>
          <w:rFonts w:eastAsia="Arial" w:cs="Arial"/>
        </w:rPr>
        <w:t>S</w:t>
      </w:r>
      <w:r w:rsidRPr="00B65F0A">
        <w:rPr>
          <w:rFonts w:eastAsia="Arial" w:cs="Arial"/>
        </w:rPr>
        <w:t xml:space="preserve">he was unhappy with the medication she was prescribed, and </w:t>
      </w:r>
      <w:r>
        <w:rPr>
          <w:rFonts w:eastAsia="Arial" w:cs="Arial"/>
        </w:rPr>
        <w:t>that her</w:t>
      </w:r>
      <w:r w:rsidRPr="00B65F0A">
        <w:rPr>
          <w:rFonts w:eastAsia="Arial" w:cs="Arial"/>
        </w:rPr>
        <w:t xml:space="preserve"> treatment team had applied to the tribunal for an ECT hearing</w:t>
      </w:r>
      <w:r>
        <w:rPr>
          <w:rFonts w:eastAsia="Arial" w:cs="Arial"/>
        </w:rPr>
        <w:t xml:space="preserve">. The woman did not </w:t>
      </w:r>
      <w:r w:rsidRPr="00B65F0A">
        <w:rPr>
          <w:rFonts w:eastAsia="Arial" w:cs="Arial"/>
        </w:rPr>
        <w:t>want to have ECT</w:t>
      </w:r>
      <w:r>
        <w:rPr>
          <w:rFonts w:eastAsia="Arial" w:cs="Arial"/>
        </w:rPr>
        <w:t>.</w:t>
      </w:r>
    </w:p>
    <w:p w14:paraId="0F6CA192" w14:textId="77777777" w:rsidR="001F76DB" w:rsidRPr="00B65F0A" w:rsidRDefault="001F76DB" w:rsidP="00DF68B9">
      <w:pPr>
        <w:jc w:val="left"/>
        <w:rPr>
          <w:i/>
        </w:rPr>
      </w:pPr>
      <w:r w:rsidRPr="00B65F0A">
        <w:rPr>
          <w:rFonts w:eastAsia="Arial" w:cs="Arial"/>
          <w:i/>
        </w:rPr>
        <w:t xml:space="preserve">Service provided and outcomes </w:t>
      </w:r>
    </w:p>
    <w:p w14:paraId="557F1E40" w14:textId="77777777" w:rsidR="001F76DB" w:rsidRDefault="001F76DB" w:rsidP="004E007C">
      <w:pPr>
        <w:pStyle w:val="ListParagraph"/>
        <w:numPr>
          <w:ilvl w:val="0"/>
          <w:numId w:val="14"/>
        </w:numPr>
        <w:spacing w:after="0" w:line="240" w:lineRule="auto"/>
        <w:jc w:val="left"/>
      </w:pPr>
      <w:r w:rsidRPr="00B65F0A">
        <w:rPr>
          <w:rFonts w:eastAsia="Arial" w:cs="Arial"/>
          <w:b/>
        </w:rPr>
        <w:t xml:space="preserve">Referral </w:t>
      </w:r>
      <w:r w:rsidRPr="35FC753B">
        <w:rPr>
          <w:rFonts w:eastAsia="Arial" w:cs="Arial"/>
        </w:rPr>
        <w:t xml:space="preserve">to VLA </w:t>
      </w:r>
      <w:r>
        <w:rPr>
          <w:rFonts w:eastAsia="Arial" w:cs="Arial"/>
        </w:rPr>
        <w:t>MHDL service</w:t>
      </w:r>
      <w:r w:rsidRPr="35FC753B">
        <w:rPr>
          <w:rFonts w:eastAsia="Arial" w:cs="Arial"/>
        </w:rPr>
        <w:t xml:space="preserve"> for legal advice and representation at ECT hearing</w:t>
      </w:r>
    </w:p>
    <w:p w14:paraId="08B870A5" w14:textId="77777777" w:rsidR="001F76DB" w:rsidRDefault="001F76DB" w:rsidP="004E007C">
      <w:pPr>
        <w:pStyle w:val="ListParagraph"/>
        <w:numPr>
          <w:ilvl w:val="0"/>
          <w:numId w:val="14"/>
        </w:numPr>
        <w:spacing w:after="0" w:line="240" w:lineRule="auto"/>
        <w:jc w:val="left"/>
      </w:pPr>
      <w:r w:rsidRPr="00B65F0A">
        <w:rPr>
          <w:rFonts w:eastAsia="Arial" w:cs="Arial"/>
          <w:b/>
        </w:rPr>
        <w:t xml:space="preserve">Coaching to </w:t>
      </w:r>
      <w:r>
        <w:rPr>
          <w:rFonts w:eastAsia="Arial" w:cs="Arial"/>
          <w:b/>
        </w:rPr>
        <w:t>Self-A</w:t>
      </w:r>
      <w:r w:rsidRPr="00B65F0A">
        <w:rPr>
          <w:rFonts w:eastAsia="Arial" w:cs="Arial"/>
          <w:b/>
        </w:rPr>
        <w:t>dvocate</w:t>
      </w:r>
      <w:r w:rsidRPr="35FC753B">
        <w:rPr>
          <w:rFonts w:eastAsia="Arial" w:cs="Arial"/>
        </w:rPr>
        <w:t xml:space="preserve"> Advocate tal</w:t>
      </w:r>
      <w:r>
        <w:rPr>
          <w:rFonts w:eastAsia="Arial" w:cs="Arial"/>
        </w:rPr>
        <w:t>ked with consumer about advance</w:t>
      </w:r>
      <w:r w:rsidRPr="35FC753B">
        <w:rPr>
          <w:rFonts w:eastAsia="Arial" w:cs="Arial"/>
        </w:rPr>
        <w:t xml:space="preserve"> statements, and provided </w:t>
      </w:r>
      <w:r>
        <w:rPr>
          <w:rFonts w:eastAsia="Arial" w:cs="Arial"/>
        </w:rPr>
        <w:t xml:space="preserve">the </w:t>
      </w:r>
      <w:r w:rsidRPr="35FC753B">
        <w:rPr>
          <w:rFonts w:eastAsia="Arial" w:cs="Arial"/>
        </w:rPr>
        <w:t xml:space="preserve">consumer with written information about </w:t>
      </w:r>
      <w:r>
        <w:rPr>
          <w:rFonts w:eastAsia="Arial" w:cs="Arial"/>
        </w:rPr>
        <w:t>advance</w:t>
      </w:r>
      <w:r w:rsidRPr="35FC753B">
        <w:rPr>
          <w:rFonts w:eastAsia="Arial" w:cs="Arial"/>
        </w:rPr>
        <w:t xml:space="preserve"> statements</w:t>
      </w:r>
    </w:p>
    <w:p w14:paraId="26C612EE" w14:textId="77777777" w:rsidR="001F76DB" w:rsidRDefault="001F76DB" w:rsidP="004E007C">
      <w:pPr>
        <w:pStyle w:val="ListParagraph"/>
        <w:numPr>
          <w:ilvl w:val="0"/>
          <w:numId w:val="14"/>
        </w:numPr>
        <w:spacing w:after="0" w:line="240" w:lineRule="auto"/>
        <w:jc w:val="left"/>
      </w:pPr>
      <w:r w:rsidRPr="00B65F0A">
        <w:rPr>
          <w:rFonts w:eastAsia="Arial" w:cs="Arial"/>
          <w:b/>
        </w:rPr>
        <w:t>Advocacy</w:t>
      </w:r>
      <w:r w:rsidRPr="35FC753B">
        <w:rPr>
          <w:rFonts w:eastAsia="Arial" w:cs="Arial"/>
        </w:rPr>
        <w:t xml:space="preserve"> – Nurses were reluctant to</w:t>
      </w:r>
      <w:r>
        <w:rPr>
          <w:rFonts w:eastAsia="Arial" w:cs="Arial"/>
        </w:rPr>
        <w:t xml:space="preserve"> witness the consumer’s advance</w:t>
      </w:r>
      <w:r w:rsidRPr="35FC753B">
        <w:rPr>
          <w:rFonts w:eastAsia="Arial" w:cs="Arial"/>
        </w:rPr>
        <w:t xml:space="preserve"> </w:t>
      </w:r>
      <w:proofErr w:type="gramStart"/>
      <w:r w:rsidRPr="35FC753B">
        <w:rPr>
          <w:rFonts w:eastAsia="Arial" w:cs="Arial"/>
        </w:rPr>
        <w:t>statement</w:t>
      </w:r>
      <w:proofErr w:type="gramEnd"/>
      <w:r>
        <w:rPr>
          <w:rFonts w:eastAsia="Arial" w:cs="Arial"/>
        </w:rPr>
        <w:t xml:space="preserve"> so the </w:t>
      </w:r>
      <w:r w:rsidRPr="35FC753B">
        <w:rPr>
          <w:rFonts w:eastAsia="Arial" w:cs="Arial"/>
        </w:rPr>
        <w:t>Advocate expla</w:t>
      </w:r>
      <w:r>
        <w:rPr>
          <w:rFonts w:eastAsia="Arial" w:cs="Arial"/>
        </w:rPr>
        <w:t>ined that witnessing an advance</w:t>
      </w:r>
      <w:r w:rsidRPr="35FC753B">
        <w:rPr>
          <w:rFonts w:eastAsia="Arial" w:cs="Arial"/>
        </w:rPr>
        <w:t xml:space="preserve"> statement does not mean that the witness agrees with the statement, only that they believe that the person making the statem</w:t>
      </w:r>
      <w:r>
        <w:rPr>
          <w:rFonts w:eastAsia="Arial" w:cs="Arial"/>
        </w:rPr>
        <w:t>ent understands what an advance</w:t>
      </w:r>
      <w:r w:rsidRPr="35FC753B">
        <w:rPr>
          <w:rFonts w:eastAsia="Arial" w:cs="Arial"/>
        </w:rPr>
        <w:t xml:space="preserve"> statement is and the consequences of making the statement. </w:t>
      </w:r>
    </w:p>
    <w:p w14:paraId="17D0F5A7" w14:textId="77777777" w:rsidR="001F76DB" w:rsidRDefault="001F76DB" w:rsidP="004E007C">
      <w:pPr>
        <w:pStyle w:val="ListParagraph"/>
        <w:numPr>
          <w:ilvl w:val="0"/>
          <w:numId w:val="14"/>
        </w:numPr>
        <w:spacing w:after="360" w:line="240" w:lineRule="auto"/>
        <w:ind w:left="714" w:hanging="357"/>
        <w:jc w:val="left"/>
      </w:pPr>
      <w:r w:rsidRPr="00B65F0A">
        <w:rPr>
          <w:rFonts w:eastAsia="Arial" w:cs="Arial"/>
          <w:b/>
        </w:rPr>
        <w:t>Outcome –</w:t>
      </w:r>
      <w:r w:rsidRPr="00B65F0A">
        <w:rPr>
          <w:rFonts w:eastAsia="Arial" w:cs="Arial"/>
        </w:rPr>
        <w:t xml:space="preserve"> T</w:t>
      </w:r>
      <w:r w:rsidRPr="35FC753B">
        <w:rPr>
          <w:rFonts w:eastAsia="Arial" w:cs="Arial"/>
        </w:rPr>
        <w:t>he treating psychia</w:t>
      </w:r>
      <w:r>
        <w:rPr>
          <w:rFonts w:eastAsia="Arial" w:cs="Arial"/>
        </w:rPr>
        <w:t>trist, upon reading the advance</w:t>
      </w:r>
      <w:r w:rsidRPr="35FC753B">
        <w:rPr>
          <w:rFonts w:eastAsia="Arial" w:cs="Arial"/>
        </w:rPr>
        <w:t xml:space="preserve"> statement, cancelled the ECT he</w:t>
      </w:r>
      <w:r>
        <w:rPr>
          <w:rFonts w:eastAsia="Arial" w:cs="Arial"/>
        </w:rPr>
        <w:t>aring, stating that the advance</w:t>
      </w:r>
      <w:r w:rsidRPr="35FC753B">
        <w:rPr>
          <w:rFonts w:eastAsia="Arial" w:cs="Arial"/>
        </w:rPr>
        <w:t xml:space="preserve"> statement showed that the consumer had capacity to make decisions about their treatment. The consumer was discharged from hospital in the following week</w:t>
      </w:r>
      <w:r>
        <w:rPr>
          <w:rFonts w:eastAsia="Arial" w:cs="Arial"/>
        </w:rPr>
        <w:t>.</w:t>
      </w:r>
    </w:p>
    <w:p w14:paraId="04C1B252" w14:textId="522D2E29" w:rsidR="001F76DB" w:rsidRPr="00312394" w:rsidRDefault="001F76DB" w:rsidP="001F76DB">
      <w:pPr>
        <w:jc w:val="left"/>
        <w:rPr>
          <w:lang w:val="en-US"/>
        </w:rPr>
      </w:pPr>
      <w:r>
        <w:rPr>
          <w:noProof/>
          <w:lang w:eastAsia="en-AU"/>
        </w:rPr>
        <w:drawing>
          <wp:inline distT="0" distB="0" distL="0" distR="0" wp14:anchorId="2A50C213" wp14:editId="0EF8315D">
            <wp:extent cx="4547870" cy="2030681"/>
            <wp:effectExtent l="0" t="0" r="5080" b="8255"/>
            <wp:docPr id="35" name="Picture 35" descr="A quote from a consumer: &quot;I remain highly grateful for the compassion and clarity provided during such a vulnerable time. My advocate assisted me immensely in knowing such help in the form of advocacy was available and provided me with hope and relief of the fear of feeling afraid and alon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9236\AppData\Local\Microsoft\Windows\INetCacheContent.Word\1801_IMHA_twitter_graphics_v6 (0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1426" cy="2072455"/>
                    </a:xfrm>
                    <a:prstGeom prst="rect">
                      <a:avLst/>
                    </a:prstGeom>
                    <a:noFill/>
                    <a:ln>
                      <a:noFill/>
                    </a:ln>
                  </pic:spPr>
                </pic:pic>
              </a:graphicData>
            </a:graphic>
          </wp:inline>
        </w:drawing>
      </w:r>
    </w:p>
    <w:sectPr w:rsidR="001F76DB" w:rsidRPr="00312394" w:rsidSect="00C62A0C">
      <w:headerReference w:type="even" r:id="rId63"/>
      <w:headerReference w:type="default" r:id="rId64"/>
      <w:footerReference w:type="even" r:id="rId65"/>
      <w:footerReference w:type="default" r:id="rId66"/>
      <w:headerReference w:type="first" r:id="rId67"/>
      <w:footerReference w:type="first" r:id="rId68"/>
      <w:pgSz w:w="11900" w:h="16840" w:code="9"/>
      <w:pgMar w:top="1348" w:right="907" w:bottom="964" w:left="907" w:header="284" w:footer="284"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E997E" w14:textId="77777777" w:rsidR="00322EF8" w:rsidRDefault="00322EF8" w:rsidP="00181303">
      <w:pPr>
        <w:pStyle w:val="Header"/>
        <w:framePr w:wrap="around" w:vAnchor="text" w:hAnchor="margin" w:xAlign="right" w:y="1"/>
        <w:rPr>
          <w:rStyle w:val="PageNumber"/>
        </w:rPr>
      </w:pPr>
      <w:r w:rsidRPr="009F0AA0">
        <w:pgNum/>
      </w:r>
      <w:r w:rsidRPr="009F0AA0">
        <w:pgNum/>
      </w:r>
      <w:r w:rsidRPr="009F0AA0">
        <w:pgNum/>
      </w:r>
    </w:p>
  </w:endnote>
  <w:endnote w:type="continuationSeparator" w:id="0">
    <w:p w14:paraId="3315EA43" w14:textId="77777777" w:rsidR="00322EF8" w:rsidRDefault="00322EF8" w:rsidP="00181303">
      <w:pPr>
        <w:pStyle w:val="Header"/>
        <w:framePr w:wrap="around" w:vAnchor="text" w:hAnchor="margin" w:xAlign="right" w:y="1"/>
        <w:rPr>
          <w:rStyle w:val="PageNumber"/>
        </w:rPr>
      </w:pPr>
      <w:r w:rsidRPr="009F0AA0">
        <w:pgNum/>
      </w:r>
      <w:r w:rsidRPr="009F0AA0">
        <w:pgNum/>
      </w:r>
      <w:r w:rsidRPr="009F0AA0">
        <w:pgNum/>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ngs">
    <w:altName w:val="Yu Gothic"/>
    <w:panose1 w:val="00000000000000000000"/>
    <w:charset w:val="80"/>
    <w:family w:val="roman"/>
    <w:notTrueType/>
    <w:pitch w:val="fixed"/>
    <w:sig w:usb0="00000000" w:usb1="08070000" w:usb2="00000010" w:usb3="00000000" w:csb0="00020000" w:csb1="00000000"/>
  </w:font>
  <w:font w:name="Rockwell">
    <w:panose1 w:val="02060603020205020403"/>
    <w:charset w:val="00"/>
    <w:family w:val="roman"/>
    <w:pitch w:val="variable"/>
    <w:sig w:usb0="00000007" w:usb1="00000000" w:usb2="00000000" w:usb3="00000000" w:csb0="00000003" w:csb1="00000000"/>
  </w:font>
  <w:font w:name="Arial Bold">
    <w:altName w:val="Arial"/>
    <w:panose1 w:val="020B0704020202020204"/>
    <w:charset w:val="00"/>
    <w:family w:val="auto"/>
    <w:pitch w:val="variable"/>
    <w:sig w:usb0="00000000"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7F38D" w14:textId="77777777" w:rsidR="00BB122F" w:rsidRDefault="00BB122F" w:rsidP="00AC3D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F73A7E" w14:textId="77777777" w:rsidR="00BB122F" w:rsidRDefault="00BB122F" w:rsidP="008074B3">
    <w:pPr>
      <w:pStyle w:val="Footer"/>
      <w:ind w:right="360" w:firstLine="360"/>
    </w:pPr>
  </w:p>
  <w:p w14:paraId="108BDE8D" w14:textId="77777777" w:rsidR="00BB122F" w:rsidRDefault="00BB12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5414D" w14:textId="44325E6D" w:rsidR="00BB122F" w:rsidRDefault="00BB122F" w:rsidP="00807EB6">
    <w:pPr>
      <w:pStyle w:val="Footer"/>
      <w:spacing w:line="240" w:lineRule="auto"/>
      <w:ind w:right="23"/>
      <w:jc w:val="center"/>
    </w:pPr>
    <w:r>
      <w:rPr>
        <w:rStyle w:val="PageNumber"/>
      </w:rPr>
      <w:fldChar w:fldCharType="begin"/>
    </w:r>
    <w:r>
      <w:rPr>
        <w:rStyle w:val="PageNumber"/>
      </w:rPr>
      <w:instrText xml:space="preserve"> PAGE </w:instrText>
    </w:r>
    <w:r>
      <w:rPr>
        <w:rStyle w:val="PageNumber"/>
      </w:rPr>
      <w:fldChar w:fldCharType="separate"/>
    </w:r>
    <w:r w:rsidR="0045534A">
      <w:rPr>
        <w:rStyle w:val="PageNumber"/>
        <w:noProof/>
      </w:rPr>
      <w:t>3</w:t>
    </w:r>
    <w:r>
      <w:rPr>
        <w:rStyle w:val="PageNumber"/>
      </w:rPr>
      <w:fldChar w:fldCharType="end"/>
    </w:r>
    <w:r>
      <w:rPr>
        <w:noProof/>
        <w:lang w:eastAsia="en-AU"/>
      </w:rPr>
      <mc:AlternateContent>
        <mc:Choice Requires="wps">
          <w:drawing>
            <wp:anchor distT="0" distB="0" distL="114300" distR="114300" simplePos="0" relativeHeight="251658240" behindDoc="0" locked="1" layoutInCell="1" allowOverlap="1" wp14:anchorId="22C090CD" wp14:editId="507FCEAE">
              <wp:simplePos x="0" y="0"/>
              <wp:positionH relativeFrom="page">
                <wp:posOffset>180340</wp:posOffset>
              </wp:positionH>
              <wp:positionV relativeFrom="page">
                <wp:posOffset>10235565</wp:posOffset>
              </wp:positionV>
              <wp:extent cx="7200265" cy="0"/>
              <wp:effectExtent l="0" t="0" r="13335" b="254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C63C1B"/>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A4CCF7" id="Line 3" o:spid="_x0000_s1026" alt=" "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" strokecolor="#c63c1b"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9C6EF" w14:textId="41B8BF48" w:rsidR="00BB122F" w:rsidRPr="008636E1" w:rsidRDefault="00BB122F" w:rsidP="00807EB6">
    <w:pPr>
      <w:pStyle w:val="Footer"/>
      <w:spacing w:line="240" w:lineRule="auto"/>
      <w:ind w:right="23"/>
      <w:jc w:val="center"/>
    </w:pPr>
    <w:r>
      <w:rPr>
        <w:rStyle w:val="PageNumber"/>
      </w:rPr>
      <w:fldChar w:fldCharType="begin"/>
    </w:r>
    <w:r>
      <w:rPr>
        <w:rStyle w:val="PageNumber"/>
      </w:rPr>
      <w:instrText xml:space="preserve"> PAGE </w:instrText>
    </w:r>
    <w:r>
      <w:rPr>
        <w:rStyle w:val="PageNumber"/>
      </w:rPr>
      <w:fldChar w:fldCharType="separate"/>
    </w:r>
    <w:r w:rsidR="0045534A">
      <w:rPr>
        <w:rStyle w:val="PageNumber"/>
        <w:noProof/>
      </w:rPr>
      <w:t>1</w:t>
    </w:r>
    <w:r>
      <w:rPr>
        <w:rStyle w:val="PageNumber"/>
      </w:rPr>
      <w:fldChar w:fldCharType="end"/>
    </w:r>
    <w:r>
      <w:rPr>
        <w:noProof/>
        <w:lang w:eastAsia="en-AU"/>
      </w:rPr>
      <mc:AlternateContent>
        <mc:Choice Requires="wps">
          <w:drawing>
            <wp:anchor distT="0" distB="0" distL="114300" distR="114300" simplePos="0" relativeHeight="251662336" behindDoc="0" locked="1" layoutInCell="1" allowOverlap="1" wp14:anchorId="3951120A" wp14:editId="762DD755">
              <wp:simplePos x="0" y="0"/>
              <wp:positionH relativeFrom="page">
                <wp:posOffset>180340</wp:posOffset>
              </wp:positionH>
              <wp:positionV relativeFrom="page">
                <wp:posOffset>10235565</wp:posOffset>
              </wp:positionV>
              <wp:extent cx="7200265" cy="0"/>
              <wp:effectExtent l="0" t="0" r="13335" b="254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C63C1B"/>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5455DD" id="Line 3" o:spid="_x0000_s1026" alt=" "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" strokecolor="#c63c1b" strokeweight=".5pt">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B2ACB" w14:textId="77777777" w:rsidR="00322EF8" w:rsidRDefault="00322EF8" w:rsidP="00181303">
      <w:pPr>
        <w:pStyle w:val="Header"/>
        <w:framePr w:wrap="around" w:vAnchor="text" w:hAnchor="margin" w:xAlign="right" w:y="1"/>
        <w:rPr>
          <w:rStyle w:val="PageNumber"/>
        </w:rPr>
      </w:pPr>
      <w:r w:rsidRPr="009F0AA0">
        <w:pgNum/>
      </w:r>
      <w:r w:rsidRPr="009F0AA0">
        <w:pgNum/>
      </w:r>
      <w:r w:rsidRPr="009F0AA0">
        <w:pgNum/>
      </w:r>
    </w:p>
  </w:footnote>
  <w:footnote w:type="continuationSeparator" w:id="0">
    <w:p w14:paraId="5319A3B9" w14:textId="77777777" w:rsidR="00322EF8" w:rsidRDefault="00322EF8" w:rsidP="00181303">
      <w:pPr>
        <w:pStyle w:val="Header"/>
        <w:framePr w:wrap="around" w:vAnchor="text" w:hAnchor="margin" w:xAlign="right" w:y="1"/>
        <w:rPr>
          <w:rStyle w:val="PageNumber"/>
        </w:rPr>
      </w:pPr>
      <w:r w:rsidRPr="009F0AA0">
        <w:pgNum/>
      </w:r>
      <w:r w:rsidRPr="009F0AA0">
        <w:pgNum/>
      </w:r>
      <w:r w:rsidRPr="009F0AA0">
        <w:pgNum/>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2F861" w14:textId="77777777" w:rsidR="00BB122F" w:rsidRDefault="00BB122F" w:rsidP="0018130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BF8258" w14:textId="77777777" w:rsidR="00BB122F" w:rsidRDefault="00BB122F" w:rsidP="00091AFC">
    <w:pPr>
      <w:pStyle w:val="Header"/>
      <w:ind w:right="360"/>
    </w:pPr>
  </w:p>
  <w:p w14:paraId="43F85365" w14:textId="77777777" w:rsidR="00BB122F" w:rsidRDefault="00BB12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4D900" w14:textId="77777777" w:rsidR="001F76DB" w:rsidRPr="00DA0E9E" w:rsidRDefault="001F76DB" w:rsidP="001F76DB">
    <w:pPr>
      <w:spacing w:before="240" w:after="0" w:line="300" w:lineRule="atLeast"/>
      <w:ind w:left="-329"/>
      <w:rPr>
        <w:rFonts w:cs="Arial"/>
        <w:color w:val="C63C1B"/>
        <w:sz w:val="18"/>
        <w:szCs w:val="18"/>
      </w:rPr>
    </w:pPr>
    <w:r w:rsidRPr="00DA0E9E">
      <w:rPr>
        <w:rFonts w:cs="Arial"/>
        <w:color w:val="C63C1B"/>
        <w:sz w:val="18"/>
        <w:szCs w:val="18"/>
      </w:rPr>
      <w:t>Independent Mental Health Advocacy</w:t>
    </w:r>
  </w:p>
  <w:p w14:paraId="38B5C073" w14:textId="77777777" w:rsidR="001F76DB" w:rsidRPr="00DA0E9E" w:rsidRDefault="001F76DB" w:rsidP="001F76DB">
    <w:pPr>
      <w:spacing w:line="240" w:lineRule="auto"/>
      <w:ind w:left="-330"/>
      <w:rPr>
        <w:rFonts w:ascii="Arial Bold" w:hAnsi="Arial Bold" w:cs="Arial"/>
        <w:color w:val="C63C1B"/>
      </w:rPr>
    </w:pPr>
    <w:r w:rsidRPr="00DA0E9E">
      <w:rPr>
        <w:rFonts w:ascii="Arial Bold" w:hAnsi="Arial Bold" w:cs="Arial"/>
        <w:noProof/>
        <w:color w:val="C63C1B"/>
        <w:lang w:eastAsia="en-AU"/>
      </w:rPr>
      <mc:AlternateContent>
        <mc:Choice Requires="wps">
          <w:drawing>
            <wp:anchor distT="0" distB="0" distL="114300" distR="114300" simplePos="0" relativeHeight="251667456" behindDoc="1" locked="1" layoutInCell="1" allowOverlap="1" wp14:anchorId="2FA4C163" wp14:editId="5E9BC2FD">
              <wp:simplePos x="0" y="0"/>
              <wp:positionH relativeFrom="page">
                <wp:posOffset>267335</wp:posOffset>
              </wp:positionH>
              <wp:positionV relativeFrom="page">
                <wp:posOffset>732790</wp:posOffset>
              </wp:positionV>
              <wp:extent cx="7157085" cy="257810"/>
              <wp:effectExtent l="0" t="0" r="24765" b="27940"/>
              <wp:wrapNone/>
              <wp:docPr id="18" name="Straight Connector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7085" cy="257810"/>
                      </a:xfrm>
                      <a:prstGeom prst="line">
                        <a:avLst/>
                      </a:prstGeom>
                      <a:noFill/>
                      <a:ln w="6350">
                        <a:solidFill>
                          <a:srgbClr val="C63C1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FC1D3" id="Straight Connector 3" o:spid="_x0000_s1026" alt=" "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5pt,57.7pt" to="584.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" strokecolor="#c63c1b" strokeweight=".5pt">
              <w10:wrap anchorx="page" anchory="page"/>
              <w10:anchorlock/>
            </v:line>
          </w:pict>
        </mc:Fallback>
      </mc:AlternateContent>
    </w:r>
    <w:r>
      <w:rPr>
        <w:rFonts w:ascii="Arial Bold" w:hAnsi="Arial Bold" w:cs="Arial"/>
        <w:color w:val="C63C1B"/>
      </w:rPr>
      <w:t>IMHA Two Year Report – December 2017</w:t>
    </w:r>
  </w:p>
  <w:p w14:paraId="52E4DAB5" w14:textId="62649EF8" w:rsidR="00BB122F" w:rsidRPr="004523AB" w:rsidRDefault="00BB122F" w:rsidP="00EF7C5C">
    <w:pPr>
      <w:spacing w:line="240" w:lineRule="auto"/>
      <w:ind w:left="-330"/>
      <w:rPr>
        <w:rFonts w:ascii="Arial Bold" w:hAnsi="Arial Bold" w:cs="Arial"/>
        <w:color w:val="C63C1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BC877" w14:textId="7AAB0581" w:rsidR="00BB122F" w:rsidRPr="00833658" w:rsidRDefault="001F76DB" w:rsidP="001F76DB">
    <w:pPr>
      <w:keepNext/>
      <w:keepLines/>
      <w:spacing w:after="100" w:afterAutospacing="1"/>
      <w:rPr>
        <w:color w:val="FFFFFF" w:themeColor="background1"/>
      </w:rPr>
    </w:pPr>
    <w:r w:rsidRPr="000C1E25">
      <w:rPr>
        <w:noProof/>
        <w:lang w:eastAsia="en-AU"/>
      </w:rPr>
      <w:drawing>
        <wp:anchor distT="0" distB="0" distL="114300" distR="114300" simplePos="0" relativeHeight="251665408" behindDoc="1" locked="0" layoutInCell="1" allowOverlap="1" wp14:anchorId="5228CA9E" wp14:editId="4924BA94">
          <wp:simplePos x="0" y="0"/>
          <wp:positionH relativeFrom="column">
            <wp:posOffset>-395117</wp:posOffset>
          </wp:positionH>
          <wp:positionV relativeFrom="paragraph">
            <wp:posOffset>67945</wp:posOffset>
          </wp:positionV>
          <wp:extent cx="7200000" cy="107864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ha_header_300.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786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C1E25">
      <w:rPr>
        <w:noProof/>
        <w:lang w:eastAsia="en-AU"/>
      </w:rPr>
      <w:t xml:space="preserve"> </w:t>
    </w:r>
  </w:p>
  <w:p w14:paraId="68668393" w14:textId="15FB12AE" w:rsidR="00BB122F" w:rsidRPr="00F20307" w:rsidRDefault="001F76DB" w:rsidP="00D82005">
    <w:pPr>
      <w:pStyle w:val="IMHAPublicationdate"/>
      <w:spacing w:before="240" w:after="1200"/>
      <w:rPr>
        <w:b/>
        <w:sz w:val="22"/>
        <w:szCs w:val="22"/>
      </w:rPr>
    </w:pPr>
    <w:r>
      <w:rPr>
        <w:b/>
        <w:sz w:val="22"/>
        <w:szCs w:val="22"/>
      </w:rPr>
      <w:t>February</w:t>
    </w:r>
    <w:r w:rsidR="002322FC" w:rsidRPr="00F20307">
      <w:rPr>
        <w:b/>
        <w:sz w:val="22"/>
        <w:szCs w:val="22"/>
      </w:rPr>
      <w:t xml:space="preserve"> 201</w:t>
    </w:r>
    <w:r w:rsidR="00221B4A">
      <w:rPr>
        <w:b/>
        <w:sz w:val="22"/>
        <w:szCs w:val="22"/>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32E7D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6" w15:restartNumberingAfterBreak="0">
    <w:nsid w:val="0E6F7C19"/>
    <w:multiLevelType w:val="hybridMultilevel"/>
    <w:tmpl w:val="B2F607A8"/>
    <w:lvl w:ilvl="0" w:tplc="341EEE4C">
      <w:start w:val="1"/>
      <w:numFmt w:val="bullet"/>
      <w:lvlText w:val=""/>
      <w:lvlJc w:val="left"/>
      <w:pPr>
        <w:ind w:left="360" w:hanging="360"/>
      </w:pPr>
      <w:rPr>
        <w:rFonts w:ascii="Symbol" w:hAnsi="Symbol" w:hint="default"/>
        <w:b w:val="0"/>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8" w15:restartNumberingAfterBreak="0">
    <w:nsid w:val="390818C6"/>
    <w:multiLevelType w:val="hybridMultilevel"/>
    <w:tmpl w:val="919C98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A12FB"/>
    <w:multiLevelType w:val="hybridMultilevel"/>
    <w:tmpl w:val="941C6B96"/>
    <w:lvl w:ilvl="0" w:tplc="F8C2D606">
      <w:start w:val="1"/>
      <w:numFmt w:val="bullet"/>
      <w:lvlText w:val=""/>
      <w:lvlJc w:val="left"/>
      <w:pPr>
        <w:ind w:left="720" w:hanging="360"/>
      </w:pPr>
      <w:rPr>
        <w:rFonts w:ascii="Symbol" w:hAnsi="Symbol" w:hint="default"/>
      </w:rPr>
    </w:lvl>
    <w:lvl w:ilvl="1" w:tplc="5E72D196">
      <w:start w:val="1"/>
      <w:numFmt w:val="bullet"/>
      <w:lvlText w:val="o"/>
      <w:lvlJc w:val="left"/>
      <w:pPr>
        <w:ind w:left="1440" w:hanging="360"/>
      </w:pPr>
      <w:rPr>
        <w:rFonts w:ascii="Courier New" w:hAnsi="Courier New" w:hint="default"/>
      </w:rPr>
    </w:lvl>
    <w:lvl w:ilvl="2" w:tplc="26DAD2A4">
      <w:start w:val="1"/>
      <w:numFmt w:val="bullet"/>
      <w:lvlText w:val=""/>
      <w:lvlJc w:val="left"/>
      <w:pPr>
        <w:ind w:left="2160" w:hanging="360"/>
      </w:pPr>
      <w:rPr>
        <w:rFonts w:ascii="Wingdings" w:hAnsi="Wingdings" w:hint="default"/>
      </w:rPr>
    </w:lvl>
    <w:lvl w:ilvl="3" w:tplc="5B1A6C02">
      <w:start w:val="1"/>
      <w:numFmt w:val="bullet"/>
      <w:lvlText w:val=""/>
      <w:lvlJc w:val="left"/>
      <w:pPr>
        <w:ind w:left="2880" w:hanging="360"/>
      </w:pPr>
      <w:rPr>
        <w:rFonts w:ascii="Symbol" w:hAnsi="Symbol" w:hint="default"/>
      </w:rPr>
    </w:lvl>
    <w:lvl w:ilvl="4" w:tplc="08F05508">
      <w:start w:val="1"/>
      <w:numFmt w:val="bullet"/>
      <w:lvlText w:val="o"/>
      <w:lvlJc w:val="left"/>
      <w:pPr>
        <w:ind w:left="3600" w:hanging="360"/>
      </w:pPr>
      <w:rPr>
        <w:rFonts w:ascii="Courier New" w:hAnsi="Courier New" w:hint="default"/>
      </w:rPr>
    </w:lvl>
    <w:lvl w:ilvl="5" w:tplc="97AAE874">
      <w:start w:val="1"/>
      <w:numFmt w:val="bullet"/>
      <w:lvlText w:val=""/>
      <w:lvlJc w:val="left"/>
      <w:pPr>
        <w:ind w:left="4320" w:hanging="360"/>
      </w:pPr>
      <w:rPr>
        <w:rFonts w:ascii="Wingdings" w:hAnsi="Wingdings" w:hint="default"/>
      </w:rPr>
    </w:lvl>
    <w:lvl w:ilvl="6" w:tplc="527604DA">
      <w:start w:val="1"/>
      <w:numFmt w:val="bullet"/>
      <w:lvlText w:val=""/>
      <w:lvlJc w:val="left"/>
      <w:pPr>
        <w:ind w:left="5040" w:hanging="360"/>
      </w:pPr>
      <w:rPr>
        <w:rFonts w:ascii="Symbol" w:hAnsi="Symbol" w:hint="default"/>
      </w:rPr>
    </w:lvl>
    <w:lvl w:ilvl="7" w:tplc="8F3462BE">
      <w:start w:val="1"/>
      <w:numFmt w:val="bullet"/>
      <w:lvlText w:val="o"/>
      <w:lvlJc w:val="left"/>
      <w:pPr>
        <w:ind w:left="5760" w:hanging="360"/>
      </w:pPr>
      <w:rPr>
        <w:rFonts w:ascii="Courier New" w:hAnsi="Courier New" w:hint="default"/>
      </w:rPr>
    </w:lvl>
    <w:lvl w:ilvl="8" w:tplc="7C761E18">
      <w:start w:val="1"/>
      <w:numFmt w:val="bullet"/>
      <w:lvlText w:val=""/>
      <w:lvlJc w:val="left"/>
      <w:pPr>
        <w:ind w:left="6480" w:hanging="360"/>
      </w:pPr>
      <w:rPr>
        <w:rFonts w:ascii="Wingdings" w:hAnsi="Wingdings" w:hint="default"/>
      </w:rPr>
    </w:lvl>
  </w:abstractNum>
  <w:abstractNum w:abstractNumId="10"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9004FC9"/>
    <w:multiLevelType w:val="multilevel"/>
    <w:tmpl w:val="4408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D06338"/>
    <w:multiLevelType w:val="multilevel"/>
    <w:tmpl w:val="08CCF84C"/>
    <w:lvl w:ilvl="0">
      <w:start w:val="1"/>
      <w:numFmt w:val="decimal"/>
      <w:lvlRestart w:val="0"/>
      <w:pStyle w:val="IMH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IMHA1"/>
      <w:lvlText w:val="%2."/>
      <w:lvlJc w:val="left"/>
      <w:pPr>
        <w:tabs>
          <w:tab w:val="num" w:pos="714"/>
        </w:tabs>
        <w:ind w:left="714" w:hanging="357"/>
      </w:pPr>
      <w:rPr>
        <w:rFonts w:ascii="Arial" w:hAnsi="Arial" w:cs="Arial" w:hint="default"/>
        <w:b w:val="0"/>
        <w:i w:val="0"/>
        <w:sz w:val="21"/>
        <w:u w:val="none"/>
      </w:rPr>
    </w:lvl>
    <w:lvl w:ilvl="2">
      <w:start w:val="1"/>
      <w:numFmt w:val="lowerRoman"/>
      <w:pStyle w:val="IMH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3"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num w:numId="1">
    <w:abstractNumId w:val="10"/>
  </w:num>
  <w:num w:numId="2">
    <w:abstractNumId w:val="7"/>
  </w:num>
  <w:num w:numId="3">
    <w:abstractNumId w:val="13"/>
  </w:num>
  <w:num w:numId="4">
    <w:abstractNumId w:val="12"/>
  </w:num>
  <w:num w:numId="5">
    <w:abstractNumId w:val="5"/>
  </w:num>
  <w:num w:numId="6">
    <w:abstractNumId w:val="3"/>
  </w:num>
  <w:num w:numId="7">
    <w:abstractNumId w:val="2"/>
  </w:num>
  <w:num w:numId="8">
    <w:abstractNumId w:val="1"/>
  </w:num>
  <w:num w:numId="9">
    <w:abstractNumId w:val="0"/>
  </w:num>
  <w:num w:numId="10">
    <w:abstractNumId w:val="4"/>
  </w:num>
  <w:num w:numId="11">
    <w:abstractNumId w:val="11"/>
  </w:num>
  <w:num w:numId="12">
    <w:abstractNumId w:val="6"/>
  </w:num>
  <w:num w:numId="13">
    <w:abstractNumId w:val="8"/>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10"/>
  <w:drawingGridVerticalSpacing w:val="360"/>
  <w:displayHorizontalDrawingGridEvery w:val="0"/>
  <w:displayVerticalDrawingGridEvery w:val="0"/>
  <w:characterSpacingControl w:val="doNotCompress"/>
  <w:hdrShapeDefaults>
    <o:shapedefaults v:ext="edit" spidmax="2049">
      <o:colormru v:ext="edit" colors="#017165,#96004a,#b1005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s>
  <w:rsids>
    <w:rsidRoot w:val="00F313AD"/>
    <w:rsid w:val="000078CE"/>
    <w:rsid w:val="00013370"/>
    <w:rsid w:val="000360EC"/>
    <w:rsid w:val="00040F0B"/>
    <w:rsid w:val="00057FDC"/>
    <w:rsid w:val="000759A6"/>
    <w:rsid w:val="00091432"/>
    <w:rsid w:val="00091AFC"/>
    <w:rsid w:val="00094FE1"/>
    <w:rsid w:val="000966ED"/>
    <w:rsid w:val="000A1C94"/>
    <w:rsid w:val="000C1E25"/>
    <w:rsid w:val="000C6955"/>
    <w:rsid w:val="000D2997"/>
    <w:rsid w:val="000E1BEB"/>
    <w:rsid w:val="00145E78"/>
    <w:rsid w:val="00151B7E"/>
    <w:rsid w:val="0015359B"/>
    <w:rsid w:val="00160C7E"/>
    <w:rsid w:val="00181303"/>
    <w:rsid w:val="0019488D"/>
    <w:rsid w:val="001A2999"/>
    <w:rsid w:val="001D5CAE"/>
    <w:rsid w:val="001E34C3"/>
    <w:rsid w:val="001F76DB"/>
    <w:rsid w:val="0021722B"/>
    <w:rsid w:val="00221B4A"/>
    <w:rsid w:val="002322FC"/>
    <w:rsid w:val="002B73A4"/>
    <w:rsid w:val="002C742D"/>
    <w:rsid w:val="002D2294"/>
    <w:rsid w:val="002F7860"/>
    <w:rsid w:val="00306C10"/>
    <w:rsid w:val="00310DD1"/>
    <w:rsid w:val="00312394"/>
    <w:rsid w:val="00315C03"/>
    <w:rsid w:val="00316AFD"/>
    <w:rsid w:val="003224F8"/>
    <w:rsid w:val="00322EF8"/>
    <w:rsid w:val="003315F4"/>
    <w:rsid w:val="00334816"/>
    <w:rsid w:val="00356D1D"/>
    <w:rsid w:val="00360994"/>
    <w:rsid w:val="003655D7"/>
    <w:rsid w:val="0037081E"/>
    <w:rsid w:val="00395B4D"/>
    <w:rsid w:val="003B6775"/>
    <w:rsid w:val="003C737C"/>
    <w:rsid w:val="003F2658"/>
    <w:rsid w:val="00402557"/>
    <w:rsid w:val="00414AC0"/>
    <w:rsid w:val="004158B6"/>
    <w:rsid w:val="00427C16"/>
    <w:rsid w:val="004421BD"/>
    <w:rsid w:val="00443649"/>
    <w:rsid w:val="004523AB"/>
    <w:rsid w:val="0045534A"/>
    <w:rsid w:val="004707EF"/>
    <w:rsid w:val="004C5092"/>
    <w:rsid w:val="004C75B1"/>
    <w:rsid w:val="004D7100"/>
    <w:rsid w:val="004E007C"/>
    <w:rsid w:val="00504F13"/>
    <w:rsid w:val="00515AD0"/>
    <w:rsid w:val="005317C2"/>
    <w:rsid w:val="00540187"/>
    <w:rsid w:val="00546C0D"/>
    <w:rsid w:val="005B1640"/>
    <w:rsid w:val="005B3D02"/>
    <w:rsid w:val="005C1DFD"/>
    <w:rsid w:val="005D19C7"/>
    <w:rsid w:val="005D4A19"/>
    <w:rsid w:val="005D5C9C"/>
    <w:rsid w:val="00606BC5"/>
    <w:rsid w:val="00626B79"/>
    <w:rsid w:val="0066019E"/>
    <w:rsid w:val="006764E3"/>
    <w:rsid w:val="00680746"/>
    <w:rsid w:val="006975FD"/>
    <w:rsid w:val="006A00A7"/>
    <w:rsid w:val="006A4680"/>
    <w:rsid w:val="006A6FC6"/>
    <w:rsid w:val="006B35B8"/>
    <w:rsid w:val="006B3F5E"/>
    <w:rsid w:val="006B612D"/>
    <w:rsid w:val="006B6E7E"/>
    <w:rsid w:val="006F181A"/>
    <w:rsid w:val="006F2D6F"/>
    <w:rsid w:val="00714549"/>
    <w:rsid w:val="00724661"/>
    <w:rsid w:val="00725754"/>
    <w:rsid w:val="00781FFA"/>
    <w:rsid w:val="0078739B"/>
    <w:rsid w:val="007B0612"/>
    <w:rsid w:val="007D5BA7"/>
    <w:rsid w:val="008074B3"/>
    <w:rsid w:val="00807EB6"/>
    <w:rsid w:val="0082595B"/>
    <w:rsid w:val="00833658"/>
    <w:rsid w:val="00847377"/>
    <w:rsid w:val="00847B31"/>
    <w:rsid w:val="00856DA8"/>
    <w:rsid w:val="008636E1"/>
    <w:rsid w:val="00886DB3"/>
    <w:rsid w:val="008958CB"/>
    <w:rsid w:val="00896E60"/>
    <w:rsid w:val="008A1E5F"/>
    <w:rsid w:val="008B2419"/>
    <w:rsid w:val="008C1E99"/>
    <w:rsid w:val="008C388A"/>
    <w:rsid w:val="008C3ABE"/>
    <w:rsid w:val="008F4DC6"/>
    <w:rsid w:val="00940793"/>
    <w:rsid w:val="00972F6B"/>
    <w:rsid w:val="0099270D"/>
    <w:rsid w:val="009A74F1"/>
    <w:rsid w:val="009B0D09"/>
    <w:rsid w:val="009B59BF"/>
    <w:rsid w:val="009D539D"/>
    <w:rsid w:val="009E1AC3"/>
    <w:rsid w:val="009F0AA0"/>
    <w:rsid w:val="009F664A"/>
    <w:rsid w:val="00A01693"/>
    <w:rsid w:val="00A11120"/>
    <w:rsid w:val="00A1436F"/>
    <w:rsid w:val="00A4395A"/>
    <w:rsid w:val="00A52F29"/>
    <w:rsid w:val="00A610EC"/>
    <w:rsid w:val="00A93509"/>
    <w:rsid w:val="00AB5376"/>
    <w:rsid w:val="00AC3D95"/>
    <w:rsid w:val="00AD03B9"/>
    <w:rsid w:val="00B044A6"/>
    <w:rsid w:val="00B30DC3"/>
    <w:rsid w:val="00B45C58"/>
    <w:rsid w:val="00B462CC"/>
    <w:rsid w:val="00B85795"/>
    <w:rsid w:val="00BB122F"/>
    <w:rsid w:val="00BD3873"/>
    <w:rsid w:val="00BE36EB"/>
    <w:rsid w:val="00C16B80"/>
    <w:rsid w:val="00C33AEF"/>
    <w:rsid w:val="00C415B1"/>
    <w:rsid w:val="00C61CB5"/>
    <w:rsid w:val="00C62A0C"/>
    <w:rsid w:val="00C64A61"/>
    <w:rsid w:val="00C81372"/>
    <w:rsid w:val="00C84D28"/>
    <w:rsid w:val="00CB48F9"/>
    <w:rsid w:val="00CB63F9"/>
    <w:rsid w:val="00CC0626"/>
    <w:rsid w:val="00CC216F"/>
    <w:rsid w:val="00CE1804"/>
    <w:rsid w:val="00CF2D05"/>
    <w:rsid w:val="00D05241"/>
    <w:rsid w:val="00D30B8E"/>
    <w:rsid w:val="00D75C29"/>
    <w:rsid w:val="00D82005"/>
    <w:rsid w:val="00DA34F5"/>
    <w:rsid w:val="00DA53D8"/>
    <w:rsid w:val="00DB07C5"/>
    <w:rsid w:val="00DC01DC"/>
    <w:rsid w:val="00DD5EE1"/>
    <w:rsid w:val="00DE037E"/>
    <w:rsid w:val="00DE3C33"/>
    <w:rsid w:val="00DF68B9"/>
    <w:rsid w:val="00E16924"/>
    <w:rsid w:val="00E62F00"/>
    <w:rsid w:val="00E865F8"/>
    <w:rsid w:val="00E92D5D"/>
    <w:rsid w:val="00E95073"/>
    <w:rsid w:val="00EF4FC5"/>
    <w:rsid w:val="00EF7C5C"/>
    <w:rsid w:val="00F0005B"/>
    <w:rsid w:val="00F14EC8"/>
    <w:rsid w:val="00F16515"/>
    <w:rsid w:val="00F20307"/>
    <w:rsid w:val="00F313AD"/>
    <w:rsid w:val="00F5756E"/>
    <w:rsid w:val="00F63972"/>
    <w:rsid w:val="00F77E0F"/>
    <w:rsid w:val="00F825B6"/>
    <w:rsid w:val="00FB3760"/>
    <w:rsid w:val="00FC3D7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17165,#96004a,#b1005d"/>
    </o:shapedefaults>
    <o:shapelayout v:ext="edit">
      <o:idmap v:ext="edit" data="1"/>
    </o:shapelayout>
  </w:shapeDefaults>
  <w:decimalSymbol w:val="."/>
  <w:listSeparator w:val=","/>
  <w14:docId w14:val="57AAD6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ngs" w:hAnsi="Cambria" w:cs="Times New Roman"/>
        <w:lang w:val="en-AU" w:eastAsia="en-US"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34" w:unhideWhenUsed="1" w:qFormat="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rsid w:val="00356D1D"/>
    <w:pPr>
      <w:spacing w:after="160" w:line="360" w:lineRule="auto"/>
      <w:jc w:val="both"/>
    </w:pPr>
    <w:rPr>
      <w:rFonts w:ascii="Arial" w:eastAsiaTheme="minorHAnsi" w:hAnsi="Arial" w:cstheme="minorBidi"/>
      <w:sz w:val="22"/>
      <w:szCs w:val="22"/>
    </w:rPr>
  </w:style>
  <w:style w:type="paragraph" w:styleId="Heading1">
    <w:name w:val="heading 1"/>
    <w:next w:val="Normal"/>
    <w:link w:val="Heading1Char"/>
    <w:uiPriority w:val="9"/>
    <w:qFormat/>
    <w:rsid w:val="00B462CC"/>
    <w:pPr>
      <w:keepNext/>
      <w:spacing w:before="240" w:after="120" w:line="300" w:lineRule="atLeast"/>
      <w:outlineLvl w:val="0"/>
    </w:pPr>
    <w:rPr>
      <w:rFonts w:ascii="Arial" w:eastAsia="Times New Roman" w:hAnsi="Arial" w:cs="Arial"/>
      <w:b/>
      <w:bCs/>
      <w:color w:val="C63C1B"/>
      <w:kern w:val="32"/>
      <w:sz w:val="32"/>
      <w:szCs w:val="32"/>
      <w:lang w:eastAsia="en-AU"/>
    </w:rPr>
  </w:style>
  <w:style w:type="paragraph" w:styleId="Heading2">
    <w:name w:val="heading 2"/>
    <w:next w:val="Normal"/>
    <w:qFormat/>
    <w:rsid w:val="00013370"/>
    <w:pPr>
      <w:keepNext/>
      <w:spacing w:before="240" w:after="120" w:line="300" w:lineRule="atLeast"/>
      <w:outlineLvl w:val="1"/>
    </w:pPr>
    <w:rPr>
      <w:rFonts w:ascii="Arial" w:eastAsia="Times New Roman" w:hAnsi="Arial" w:cs="Arial"/>
      <w:b/>
      <w:bCs/>
      <w:iCs/>
      <w:color w:val="C63C1B"/>
      <w:sz w:val="28"/>
      <w:szCs w:val="28"/>
      <w:lang w:eastAsia="en-AU"/>
    </w:rPr>
  </w:style>
  <w:style w:type="paragraph" w:styleId="Heading3">
    <w:name w:val="heading 3"/>
    <w:next w:val="Normal"/>
    <w:qFormat/>
    <w:rsid w:val="00DB07C5"/>
    <w:pPr>
      <w:keepNext/>
      <w:spacing w:before="240" w:after="120" w:line="300" w:lineRule="atLeast"/>
      <w:outlineLvl w:val="2"/>
    </w:pPr>
    <w:rPr>
      <w:rFonts w:ascii="Arial" w:eastAsia="Times New Roman" w:hAnsi="Arial" w:cs="Arial"/>
      <w:b/>
      <w:bCs/>
      <w:sz w:val="26"/>
      <w:szCs w:val="26"/>
      <w:lang w:eastAsia="en-AU"/>
    </w:rPr>
  </w:style>
  <w:style w:type="paragraph" w:styleId="Heading4">
    <w:name w:val="heading 4"/>
    <w:basedOn w:val="Heading3"/>
    <w:qFormat/>
    <w:rsid w:val="00DB07C5"/>
    <w:pPr>
      <w:outlineLvl w:val="3"/>
    </w:pPr>
    <w:rPr>
      <w:sz w:val="24"/>
      <w:szCs w:val="24"/>
    </w:rPr>
  </w:style>
  <w:style w:type="paragraph" w:styleId="Heading5">
    <w:name w:val="heading 5"/>
    <w:basedOn w:val="Normal"/>
    <w:qFormat/>
    <w:locked/>
    <w:rsid w:val="00DB07C5"/>
    <w:pPr>
      <w:spacing w:before="240"/>
      <w:outlineLvl w:val="4"/>
    </w:pPr>
    <w:rPr>
      <w:b/>
    </w:rPr>
  </w:style>
  <w:style w:type="paragraph" w:styleId="Heading6">
    <w:name w:val="heading 6"/>
    <w:basedOn w:val="Heading5"/>
    <w:next w:val="Normal"/>
    <w:link w:val="Heading6Char"/>
    <w:qFormat/>
    <w:locked/>
    <w:rsid w:val="00DB07C5"/>
    <w:pPr>
      <w:outlineLvl w:val="5"/>
    </w:pPr>
  </w:style>
  <w:style w:type="paragraph" w:styleId="Heading7">
    <w:name w:val="heading 7"/>
    <w:basedOn w:val="Heading6"/>
    <w:next w:val="Normal"/>
    <w:qFormat/>
    <w:locked/>
    <w:rsid w:val="00DB07C5"/>
    <w:pPr>
      <w:outlineLvl w:val="6"/>
    </w:pPr>
  </w:style>
  <w:style w:type="paragraph" w:styleId="Heading8">
    <w:name w:val="heading 8"/>
    <w:basedOn w:val="Heading7"/>
    <w:next w:val="Normal"/>
    <w:qFormat/>
    <w:locked/>
    <w:rsid w:val="00DB07C5"/>
    <w:pPr>
      <w:outlineLvl w:val="7"/>
    </w:pPr>
  </w:style>
  <w:style w:type="paragraph" w:styleId="Heading9">
    <w:name w:val="heading 9"/>
    <w:basedOn w:val="Heading8"/>
    <w:next w:val="Normal"/>
    <w:qFormat/>
    <w:locked/>
    <w:rsid w:val="003B677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82595B"/>
    <w:rPr>
      <w:rFonts w:ascii="Arial" w:eastAsia="Times New Roman" w:hAnsi="Arial"/>
      <w:b/>
      <w:sz w:val="22"/>
      <w:szCs w:val="24"/>
      <w:lang w:eastAsia="en-US"/>
    </w:rPr>
  </w:style>
  <w:style w:type="paragraph" w:styleId="Header">
    <w:name w:val="header"/>
    <w:rsid w:val="00013370"/>
    <w:pPr>
      <w:pBdr>
        <w:bottom w:val="single" w:sz="4" w:space="1" w:color="C63C1B"/>
      </w:pBdr>
      <w:tabs>
        <w:tab w:val="center" w:pos="4604"/>
        <w:tab w:val="right" w:pos="9214"/>
      </w:tabs>
      <w:spacing w:line="240" w:lineRule="atLeast"/>
    </w:pPr>
    <w:rPr>
      <w:rFonts w:ascii="Arial" w:eastAsia="Times New Roman" w:hAnsi="Arial"/>
      <w:sz w:val="22"/>
      <w:szCs w:val="24"/>
    </w:rPr>
  </w:style>
  <w:style w:type="paragraph" w:styleId="TOC1">
    <w:name w:val="toc 1"/>
    <w:next w:val="Normal"/>
    <w:locked/>
    <w:rsid w:val="00DB07C5"/>
    <w:pPr>
      <w:tabs>
        <w:tab w:val="right" w:leader="dot" w:pos="9790"/>
      </w:tabs>
      <w:spacing w:before="60" w:after="60"/>
      <w:ind w:left="567" w:right="760" w:hanging="567"/>
    </w:pPr>
    <w:rPr>
      <w:rFonts w:ascii="Arial" w:eastAsia="Times New Roman" w:hAnsi="Arial"/>
      <w:b/>
      <w:szCs w:val="24"/>
    </w:rPr>
  </w:style>
  <w:style w:type="paragraph" w:styleId="ListBullet">
    <w:name w:val="List Bullet"/>
    <w:uiPriority w:val="99"/>
    <w:rsid w:val="00DB07C5"/>
    <w:pPr>
      <w:numPr>
        <w:numId w:val="2"/>
      </w:numPr>
      <w:spacing w:after="120" w:line="300" w:lineRule="atLeast"/>
    </w:pPr>
    <w:rPr>
      <w:rFonts w:ascii="Arial" w:eastAsia="Times New Roman" w:hAnsi="Arial"/>
      <w:sz w:val="22"/>
      <w:szCs w:val="24"/>
    </w:rPr>
  </w:style>
  <w:style w:type="paragraph" w:styleId="Footer">
    <w:name w:val="footer"/>
    <w:basedOn w:val="Normal"/>
    <w:rsid w:val="00DB07C5"/>
    <w:pPr>
      <w:tabs>
        <w:tab w:val="center" w:pos="4153"/>
        <w:tab w:val="right" w:pos="8306"/>
      </w:tabs>
    </w:pPr>
  </w:style>
  <w:style w:type="paragraph" w:styleId="ListBullet2">
    <w:name w:val="List Bullet 2"/>
    <w:rsid w:val="00DB07C5"/>
    <w:pPr>
      <w:numPr>
        <w:ilvl w:val="1"/>
        <w:numId w:val="3"/>
      </w:numPr>
      <w:spacing w:after="120" w:line="300" w:lineRule="atLeast"/>
    </w:pPr>
    <w:rPr>
      <w:rFonts w:ascii="Arial" w:eastAsia="Times New Roman" w:hAnsi="Arial"/>
      <w:sz w:val="22"/>
      <w:szCs w:val="24"/>
    </w:rPr>
  </w:style>
  <w:style w:type="character" w:styleId="PageNumber">
    <w:name w:val="page number"/>
    <w:semiHidden/>
    <w:rsid w:val="00DB07C5"/>
    <w:rPr>
      <w:rFonts w:ascii="Arial" w:hAnsi="Arial"/>
      <w:sz w:val="18"/>
    </w:rPr>
  </w:style>
  <w:style w:type="paragraph" w:styleId="ListBullet3">
    <w:name w:val="List Bullet 3"/>
    <w:rsid w:val="00DB07C5"/>
    <w:pPr>
      <w:numPr>
        <w:ilvl w:val="2"/>
        <w:numId w:val="3"/>
      </w:numPr>
      <w:spacing w:after="120" w:line="300" w:lineRule="atLeast"/>
    </w:pPr>
    <w:rPr>
      <w:rFonts w:ascii="Arial" w:eastAsia="Times New Roman" w:hAnsi="Arial"/>
      <w:sz w:val="22"/>
      <w:szCs w:val="24"/>
    </w:rPr>
  </w:style>
  <w:style w:type="character" w:styleId="FootnoteReference">
    <w:name w:val="footnote reference"/>
    <w:rsid w:val="00DB07C5"/>
    <w:rPr>
      <w:rFonts w:ascii="Arial" w:hAnsi="Arial"/>
      <w:sz w:val="18"/>
      <w:vertAlign w:val="superscript"/>
    </w:rPr>
  </w:style>
  <w:style w:type="paragraph" w:styleId="FootnoteText">
    <w:name w:val="footnote text"/>
    <w:basedOn w:val="Normal"/>
    <w:rsid w:val="00DB07C5"/>
    <w:pPr>
      <w:ind w:left="284" w:hanging="284"/>
    </w:pPr>
    <w:rPr>
      <w:sz w:val="18"/>
      <w:szCs w:val="20"/>
    </w:rPr>
  </w:style>
  <w:style w:type="paragraph" w:customStyle="1" w:styleId="AppendixH1">
    <w:name w:val="Appendix H1"/>
    <w:next w:val="Normal"/>
    <w:rsid w:val="00013370"/>
    <w:pPr>
      <w:spacing w:before="240" w:after="240" w:line="300" w:lineRule="atLeast"/>
    </w:pPr>
    <w:rPr>
      <w:rFonts w:ascii="Arial" w:eastAsia="Times New Roman" w:hAnsi="Arial" w:cs="Arial"/>
      <w:b/>
      <w:bCs/>
      <w:color w:val="C63C1B"/>
      <w:kern w:val="32"/>
      <w:sz w:val="28"/>
      <w:szCs w:val="26"/>
      <w:lang w:eastAsia="en-AU"/>
    </w:rPr>
  </w:style>
  <w:style w:type="paragraph" w:customStyle="1" w:styleId="IMHAi">
    <w:name w:val="IMHA i."/>
    <w:aliases w:val="ii.,iii."/>
    <w:rsid w:val="00DB07C5"/>
    <w:pPr>
      <w:numPr>
        <w:ilvl w:val="2"/>
        <w:numId w:val="4"/>
      </w:numPr>
      <w:spacing w:after="120" w:line="300" w:lineRule="atLeast"/>
    </w:pPr>
    <w:rPr>
      <w:rFonts w:ascii="Arial" w:eastAsia="Times New Roman" w:hAnsi="Arial"/>
      <w:sz w:val="22"/>
      <w:szCs w:val="24"/>
    </w:rPr>
  </w:style>
  <w:style w:type="paragraph" w:customStyle="1" w:styleId="IMHApicture">
    <w:name w:val="IMHA picture"/>
    <w:next w:val="Normal"/>
    <w:rsid w:val="00DB07C5"/>
    <w:pPr>
      <w:spacing w:after="120" w:line="300" w:lineRule="atLeast"/>
    </w:pPr>
    <w:rPr>
      <w:rFonts w:ascii="Arial" w:eastAsia="Times New Roman" w:hAnsi="Arial"/>
      <w:sz w:val="22"/>
      <w:szCs w:val="24"/>
    </w:rPr>
  </w:style>
  <w:style w:type="paragraph" w:customStyle="1" w:styleId="IMHAcaption">
    <w:name w:val="IMHA caption"/>
    <w:basedOn w:val="Normal"/>
    <w:next w:val="Normal"/>
    <w:rsid w:val="00DB07C5"/>
    <w:rPr>
      <w:i/>
      <w:sz w:val="20"/>
    </w:rPr>
  </w:style>
  <w:style w:type="paragraph" w:customStyle="1" w:styleId="IMHAquotation">
    <w:name w:val="IMHA quotation"/>
    <w:basedOn w:val="IMHApicture"/>
    <w:rsid w:val="00DB07C5"/>
    <w:pPr>
      <w:ind w:left="720"/>
    </w:pPr>
    <w:rPr>
      <w:i/>
    </w:rPr>
  </w:style>
  <w:style w:type="paragraph" w:customStyle="1" w:styleId="IMHA1">
    <w:name w:val="IMHA 1."/>
    <w:aliases w:val="2.,3."/>
    <w:rsid w:val="00DB07C5"/>
    <w:pPr>
      <w:numPr>
        <w:numId w:val="4"/>
      </w:numPr>
      <w:spacing w:after="120" w:line="300" w:lineRule="atLeast"/>
    </w:pPr>
    <w:rPr>
      <w:rFonts w:ascii="Arial" w:eastAsia="Times New Roman" w:hAnsi="Arial"/>
      <w:sz w:val="22"/>
      <w:szCs w:val="24"/>
    </w:rPr>
  </w:style>
  <w:style w:type="paragraph" w:customStyle="1" w:styleId="IMHAa">
    <w:name w:val="IMHA a."/>
    <w:aliases w:val="b.,c."/>
    <w:rsid w:val="00DB07C5"/>
    <w:pPr>
      <w:tabs>
        <w:tab w:val="num" w:pos="714"/>
      </w:tabs>
      <w:spacing w:after="120" w:line="300" w:lineRule="atLeast"/>
      <w:ind w:left="714" w:hanging="357"/>
    </w:pPr>
    <w:rPr>
      <w:rFonts w:ascii="Arial" w:eastAsia="Times New Roman" w:hAnsi="Arial"/>
      <w:sz w:val="22"/>
      <w:szCs w:val="24"/>
    </w:rPr>
  </w:style>
  <w:style w:type="paragraph" w:customStyle="1" w:styleId="Confidentialityclause">
    <w:name w:val="Confidentiality clause"/>
    <w:rsid w:val="00DB07C5"/>
    <w:pPr>
      <w:spacing w:after="120"/>
    </w:pPr>
    <w:rPr>
      <w:rFonts w:ascii="Arial" w:eastAsia="Times New Roman" w:hAnsi="Arial"/>
      <w:bCs/>
      <w:kern w:val="28"/>
      <w:sz w:val="18"/>
    </w:rPr>
  </w:style>
  <w:style w:type="character" w:styleId="Hyperlink">
    <w:name w:val="Hyperlink"/>
    <w:uiPriority w:val="99"/>
    <w:rsid w:val="00DB07C5"/>
    <w:rPr>
      <w:rFonts w:ascii="Arial" w:hAnsi="Arial"/>
      <w:color w:val="0000FF"/>
      <w:u w:val="single"/>
      <w:lang w:val="en-AU"/>
    </w:rPr>
  </w:style>
  <w:style w:type="paragraph" w:styleId="ListBullet4">
    <w:name w:val="List Bullet 4"/>
    <w:basedOn w:val="Normal"/>
    <w:semiHidden/>
    <w:rsid w:val="00DB07C5"/>
    <w:pPr>
      <w:spacing w:after="80"/>
    </w:pPr>
  </w:style>
  <w:style w:type="character" w:styleId="Strong">
    <w:name w:val="Strong"/>
    <w:qFormat/>
    <w:locked/>
    <w:rsid w:val="00DB07C5"/>
    <w:rPr>
      <w:b/>
      <w:bCs/>
    </w:rPr>
  </w:style>
  <w:style w:type="table" w:styleId="TableGrid">
    <w:name w:val="Table Grid"/>
    <w:basedOn w:val="TableNormal"/>
    <w:uiPriority w:val="39"/>
    <w:locked/>
    <w:rsid w:val="00DB07C5"/>
    <w:pPr>
      <w:spacing w:before="60" w:after="60" w:line="240" w:lineRule="atLeast"/>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locked/>
    <w:rsid w:val="00DB07C5"/>
    <w:pPr>
      <w:tabs>
        <w:tab w:val="right" w:leader="dot" w:pos="9790"/>
      </w:tabs>
      <w:spacing w:before="60" w:after="60"/>
      <w:ind w:left="330" w:right="650"/>
    </w:pPr>
    <w:rPr>
      <w:noProof/>
      <w:sz w:val="20"/>
    </w:rPr>
  </w:style>
  <w:style w:type="paragraph" w:styleId="TOC3">
    <w:name w:val="toc 3"/>
    <w:basedOn w:val="Normal"/>
    <w:next w:val="Normal"/>
    <w:locked/>
    <w:rsid w:val="00DB07C5"/>
    <w:pPr>
      <w:tabs>
        <w:tab w:val="right" w:leader="dot" w:pos="9790"/>
      </w:tabs>
      <w:spacing w:before="60" w:after="60"/>
      <w:ind w:left="550" w:right="760"/>
    </w:pPr>
    <w:rPr>
      <w:noProof/>
      <w:sz w:val="20"/>
    </w:rPr>
  </w:style>
  <w:style w:type="paragraph" w:customStyle="1" w:styleId="IMHAdefinition">
    <w:name w:val="IMHA definition"/>
    <w:basedOn w:val="Normal"/>
    <w:rsid w:val="00DB07C5"/>
    <w:pPr>
      <w:tabs>
        <w:tab w:val="left" w:pos="2268"/>
      </w:tabs>
      <w:spacing w:before="60"/>
      <w:ind w:left="2268" w:hanging="2268"/>
    </w:pPr>
  </w:style>
  <w:style w:type="paragraph" w:customStyle="1" w:styleId="IMHADocumentText">
    <w:name w:val="IMHA Document Text"/>
    <w:rsid w:val="000759A6"/>
    <w:pPr>
      <w:spacing w:after="120" w:line="300" w:lineRule="atLeast"/>
    </w:pPr>
    <w:rPr>
      <w:rFonts w:ascii="Arial" w:eastAsia="Times New Roman" w:hAnsi="Arial"/>
      <w:sz w:val="22"/>
      <w:szCs w:val="24"/>
    </w:rPr>
  </w:style>
  <w:style w:type="character" w:customStyle="1" w:styleId="IMHAHiddenText">
    <w:name w:val="IMHA Hidden Text"/>
    <w:rsid w:val="000759A6"/>
    <w:rPr>
      <w:rFonts w:ascii="Arial" w:hAnsi="Arial"/>
      <w:vanish/>
      <w:color w:val="3366FF"/>
    </w:rPr>
  </w:style>
  <w:style w:type="paragraph" w:customStyle="1" w:styleId="IMHALetterHeading">
    <w:name w:val="IMHA Letter Heading"/>
    <w:next w:val="Normal"/>
    <w:rsid w:val="000759A6"/>
    <w:pPr>
      <w:keepNext/>
      <w:spacing w:after="200" w:line="300" w:lineRule="atLeast"/>
    </w:pPr>
    <w:rPr>
      <w:rFonts w:ascii="Arial" w:eastAsia="Times New Roman" w:hAnsi="Arial"/>
      <w:b/>
      <w:sz w:val="22"/>
      <w:szCs w:val="24"/>
    </w:rPr>
  </w:style>
  <w:style w:type="paragraph" w:customStyle="1" w:styleId="IMHALetterText">
    <w:name w:val="IMHA Letter Text"/>
    <w:rsid w:val="000759A6"/>
    <w:pPr>
      <w:spacing w:after="120" w:line="300" w:lineRule="atLeast"/>
    </w:pPr>
    <w:rPr>
      <w:rFonts w:ascii="Arial" w:eastAsia="Times New Roman" w:hAnsi="Arial"/>
      <w:sz w:val="22"/>
      <w:szCs w:val="24"/>
    </w:rPr>
  </w:style>
  <w:style w:type="paragraph" w:customStyle="1" w:styleId="IMHAProgram">
    <w:name w:val="IMHA Program"/>
    <w:basedOn w:val="Header"/>
    <w:next w:val="Normal"/>
    <w:rsid w:val="00013370"/>
    <w:pPr>
      <w:tabs>
        <w:tab w:val="clear" w:pos="4604"/>
        <w:tab w:val="clear" w:pos="9214"/>
      </w:tabs>
      <w:spacing w:before="120" w:after="120"/>
      <w:ind w:left="-329" w:right="-816"/>
    </w:pPr>
    <w:rPr>
      <w:b/>
      <w:color w:val="FFFFFF"/>
      <w:sz w:val="18"/>
      <w:szCs w:val="18"/>
    </w:rPr>
  </w:style>
  <w:style w:type="paragraph" w:customStyle="1" w:styleId="IMHAPublicationdate">
    <w:name w:val="IMHA Publication date"/>
    <w:basedOn w:val="Normal"/>
    <w:next w:val="Normal"/>
    <w:rsid w:val="00833658"/>
    <w:pPr>
      <w:spacing w:before="120" w:after="960" w:line="240" w:lineRule="auto"/>
      <w:ind w:left="-329"/>
    </w:pPr>
    <w:rPr>
      <w:color w:val="FFFFFF"/>
      <w:sz w:val="18"/>
      <w:szCs w:val="18"/>
    </w:rPr>
  </w:style>
  <w:style w:type="paragraph" w:customStyle="1" w:styleId="AppendixH2">
    <w:name w:val="Appendix H2"/>
    <w:next w:val="Normal"/>
    <w:rsid w:val="00013370"/>
    <w:pPr>
      <w:spacing w:before="160" w:after="40" w:line="300" w:lineRule="atLeast"/>
    </w:pPr>
    <w:rPr>
      <w:rFonts w:ascii="Arial" w:eastAsia="Times New Roman" w:hAnsi="Arial" w:cs="Arial"/>
      <w:b/>
      <w:bCs/>
      <w:iCs/>
      <w:color w:val="C63C1B"/>
      <w:sz w:val="26"/>
      <w:szCs w:val="28"/>
      <w:lang w:eastAsia="en-AU"/>
    </w:rPr>
  </w:style>
  <w:style w:type="paragraph" w:customStyle="1" w:styleId="AppendixH3">
    <w:name w:val="Appendix H3"/>
    <w:next w:val="Normal"/>
    <w:rsid w:val="00DB07C5"/>
    <w:pPr>
      <w:spacing w:before="120" w:after="40" w:line="300" w:lineRule="atLeast"/>
    </w:pPr>
    <w:rPr>
      <w:rFonts w:ascii="Arial" w:eastAsia="Times New Roman" w:hAnsi="Arial" w:cs="Arial"/>
      <w:b/>
      <w:bCs/>
      <w:sz w:val="24"/>
      <w:szCs w:val="26"/>
      <w:lang w:eastAsia="en-AU"/>
    </w:rPr>
  </w:style>
  <w:style w:type="paragraph" w:customStyle="1" w:styleId="Appendix">
    <w:name w:val="Appendix"/>
    <w:next w:val="Normal"/>
    <w:rsid w:val="00013370"/>
    <w:pPr>
      <w:numPr>
        <w:numId w:val="1"/>
      </w:numPr>
      <w:spacing w:before="240" w:after="240" w:line="280" w:lineRule="exact"/>
    </w:pPr>
    <w:rPr>
      <w:rFonts w:ascii="Arial" w:eastAsia="Times New Roman" w:hAnsi="Arial" w:cs="Arial"/>
      <w:b/>
      <w:bCs/>
      <w:color w:val="C63C1B"/>
      <w:kern w:val="32"/>
      <w:sz w:val="28"/>
      <w:szCs w:val="28"/>
      <w:lang w:eastAsia="en-AU"/>
    </w:rPr>
  </w:style>
  <w:style w:type="paragraph" w:customStyle="1" w:styleId="IMHAdivision">
    <w:name w:val="IMHA division"/>
    <w:basedOn w:val="Normal"/>
    <w:next w:val="IMHAauthor"/>
    <w:rsid w:val="00013370"/>
    <w:pPr>
      <w:spacing w:before="60" w:after="240"/>
    </w:pPr>
    <w:rPr>
      <w:b/>
      <w:color w:val="C63C1B"/>
      <w:sz w:val="28"/>
      <w:szCs w:val="28"/>
      <w:lang w:eastAsia="en-AU"/>
    </w:rPr>
  </w:style>
  <w:style w:type="paragraph" w:customStyle="1" w:styleId="IMHAauthor">
    <w:name w:val="IMHA author"/>
    <w:basedOn w:val="Normal"/>
    <w:next w:val="IMHAdivision"/>
    <w:rsid w:val="00013370"/>
    <w:pPr>
      <w:spacing w:before="240" w:after="60"/>
    </w:pPr>
    <w:rPr>
      <w:b/>
      <w:color w:val="C63C1B"/>
      <w:sz w:val="28"/>
      <w:szCs w:val="28"/>
      <w:lang w:eastAsia="en-AU"/>
    </w:rPr>
  </w:style>
  <w:style w:type="paragraph" w:customStyle="1" w:styleId="Contents">
    <w:name w:val="Contents"/>
    <w:basedOn w:val="IMHAdivision"/>
    <w:next w:val="Normal"/>
    <w:rsid w:val="00013370"/>
  </w:style>
  <w:style w:type="paragraph" w:customStyle="1" w:styleId="Filename">
    <w:name w:val="Filename"/>
    <w:basedOn w:val="Normal"/>
    <w:rsid w:val="00013370"/>
    <w:pPr>
      <w:pBdr>
        <w:top w:val="single" w:sz="4" w:space="1" w:color="C63C1B"/>
      </w:pBdr>
      <w:tabs>
        <w:tab w:val="right" w:pos="9240"/>
      </w:tabs>
    </w:pPr>
    <w:rPr>
      <w:sz w:val="18"/>
    </w:rPr>
  </w:style>
  <w:style w:type="paragraph" w:styleId="Title">
    <w:name w:val="Title"/>
    <w:link w:val="TitleChar"/>
    <w:uiPriority w:val="10"/>
    <w:qFormat/>
    <w:locked/>
    <w:rsid w:val="00013370"/>
    <w:pPr>
      <w:spacing w:before="2000" w:after="240" w:line="400" w:lineRule="exact"/>
      <w:outlineLvl w:val="0"/>
    </w:pPr>
    <w:rPr>
      <w:rFonts w:ascii="Arial Bold" w:eastAsia="Times New Roman" w:hAnsi="Arial Bold" w:cs="Arial"/>
      <w:b/>
      <w:bCs/>
      <w:color w:val="C63C1B"/>
      <w:kern w:val="28"/>
      <w:sz w:val="36"/>
      <w:szCs w:val="32"/>
    </w:rPr>
  </w:style>
  <w:style w:type="character" w:customStyle="1" w:styleId="TitleChar">
    <w:name w:val="Title Char"/>
    <w:link w:val="Title"/>
    <w:uiPriority w:val="10"/>
    <w:rsid w:val="00013370"/>
    <w:rPr>
      <w:rFonts w:ascii="Arial Bold" w:eastAsia="Times New Roman" w:hAnsi="Arial Bold" w:cs="Arial"/>
      <w:b/>
      <w:bCs/>
      <w:color w:val="C63C1B"/>
      <w:kern w:val="28"/>
      <w:sz w:val="36"/>
      <w:szCs w:val="32"/>
    </w:rPr>
  </w:style>
  <w:style w:type="paragraph" w:customStyle="1" w:styleId="IMHAdate">
    <w:name w:val="IMHA date"/>
    <w:basedOn w:val="Normal"/>
    <w:qFormat/>
    <w:rsid w:val="00A52F29"/>
    <w:pPr>
      <w:spacing w:before="240" w:after="240" w:line="240" w:lineRule="atLeast"/>
    </w:pPr>
    <w:rPr>
      <w:bCs/>
      <w:sz w:val="24"/>
      <w:szCs w:val="28"/>
    </w:rPr>
  </w:style>
  <w:style w:type="paragraph" w:customStyle="1" w:styleId="IMHApublicationdate0">
    <w:name w:val="IMHA publication date"/>
    <w:basedOn w:val="Normal"/>
    <w:rsid w:val="00DB07C5"/>
    <w:pPr>
      <w:spacing w:before="1000"/>
    </w:pPr>
    <w:rPr>
      <w:b/>
      <w:sz w:val="28"/>
      <w:szCs w:val="20"/>
      <w:lang w:eastAsia="en-AU"/>
    </w:rPr>
  </w:style>
  <w:style w:type="paragraph" w:customStyle="1" w:styleId="Normalbold">
    <w:name w:val="Normal bold"/>
    <w:basedOn w:val="Normal"/>
    <w:next w:val="Normal"/>
    <w:rsid w:val="00DB07C5"/>
    <w:rPr>
      <w:b/>
      <w:lang w:eastAsia="en-AU"/>
    </w:rPr>
  </w:style>
  <w:style w:type="paragraph" w:customStyle="1" w:styleId="Normalwithborder">
    <w:name w:val="Normal with border"/>
    <w:basedOn w:val="Heading5"/>
    <w:qFormat/>
    <w:rsid w:val="00A52F29"/>
    <w:rPr>
      <w:b w:val="0"/>
    </w:rPr>
  </w:style>
  <w:style w:type="paragraph" w:customStyle="1" w:styleId="Normalwithgreyhighlightbox">
    <w:name w:val="Normal with grey highlight box"/>
    <w:basedOn w:val="Heading4"/>
    <w:qFormat/>
    <w:rsid w:val="00A52F29"/>
    <w:rPr>
      <w:b w:val="0"/>
      <w:sz w:val="22"/>
    </w:rPr>
  </w:style>
  <w:style w:type="paragraph" w:styleId="NormalIndent">
    <w:name w:val="Normal Indent"/>
    <w:basedOn w:val="Normal"/>
    <w:rsid w:val="00A52F29"/>
    <w:pPr>
      <w:ind w:left="720"/>
    </w:pPr>
  </w:style>
  <w:style w:type="paragraph" w:styleId="ListBullet5">
    <w:name w:val="List Bullet 5"/>
    <w:basedOn w:val="Normal"/>
    <w:rsid w:val="008B2419"/>
    <w:pPr>
      <w:numPr>
        <w:numId w:val="10"/>
      </w:numPr>
      <w:contextualSpacing/>
    </w:pPr>
  </w:style>
  <w:style w:type="paragraph" w:styleId="ListNumber">
    <w:name w:val="List Number"/>
    <w:basedOn w:val="Normal"/>
    <w:rsid w:val="008B2419"/>
    <w:pPr>
      <w:numPr>
        <w:numId w:val="5"/>
      </w:numPr>
      <w:contextualSpacing/>
    </w:pPr>
  </w:style>
  <w:style w:type="paragraph" w:styleId="ListNumber2">
    <w:name w:val="List Number 2"/>
    <w:basedOn w:val="Normal"/>
    <w:rsid w:val="008B2419"/>
    <w:pPr>
      <w:numPr>
        <w:numId w:val="6"/>
      </w:numPr>
      <w:contextualSpacing/>
    </w:pPr>
  </w:style>
  <w:style w:type="paragraph" w:styleId="ListNumber3">
    <w:name w:val="List Number 3"/>
    <w:basedOn w:val="Normal"/>
    <w:rsid w:val="008B2419"/>
    <w:pPr>
      <w:numPr>
        <w:numId w:val="7"/>
      </w:numPr>
      <w:contextualSpacing/>
    </w:pPr>
  </w:style>
  <w:style w:type="paragraph" w:styleId="ListNumber4">
    <w:name w:val="List Number 4"/>
    <w:basedOn w:val="Normal"/>
    <w:rsid w:val="008B2419"/>
    <w:pPr>
      <w:numPr>
        <w:numId w:val="8"/>
      </w:numPr>
      <w:contextualSpacing/>
    </w:pPr>
  </w:style>
  <w:style w:type="paragraph" w:styleId="ListNumber5">
    <w:name w:val="List Number 5"/>
    <w:basedOn w:val="Normal"/>
    <w:rsid w:val="008B2419"/>
    <w:pPr>
      <w:numPr>
        <w:numId w:val="9"/>
      </w:numPr>
      <w:contextualSpacing/>
    </w:pPr>
  </w:style>
  <w:style w:type="paragraph" w:styleId="ListParagraph">
    <w:name w:val="List Paragraph"/>
    <w:basedOn w:val="Normal"/>
    <w:uiPriority w:val="34"/>
    <w:qFormat/>
    <w:rsid w:val="006A4680"/>
    <w:pPr>
      <w:ind w:left="720"/>
      <w:contextualSpacing/>
    </w:pPr>
  </w:style>
  <w:style w:type="character" w:styleId="CommentReference">
    <w:name w:val="annotation reference"/>
    <w:basedOn w:val="DefaultParagraphFont"/>
    <w:semiHidden/>
    <w:unhideWhenUsed/>
    <w:rsid w:val="00FC3D7F"/>
    <w:rPr>
      <w:sz w:val="16"/>
      <w:szCs w:val="16"/>
    </w:rPr>
  </w:style>
  <w:style w:type="paragraph" w:styleId="CommentText">
    <w:name w:val="annotation text"/>
    <w:basedOn w:val="Normal"/>
    <w:link w:val="CommentTextChar"/>
    <w:semiHidden/>
    <w:unhideWhenUsed/>
    <w:rsid w:val="00FC3D7F"/>
    <w:pPr>
      <w:spacing w:line="240" w:lineRule="auto"/>
    </w:pPr>
    <w:rPr>
      <w:sz w:val="20"/>
      <w:szCs w:val="20"/>
    </w:rPr>
  </w:style>
  <w:style w:type="character" w:customStyle="1" w:styleId="CommentTextChar">
    <w:name w:val="Comment Text Char"/>
    <w:basedOn w:val="DefaultParagraphFont"/>
    <w:link w:val="CommentText"/>
    <w:semiHidden/>
    <w:rsid w:val="00FC3D7F"/>
    <w:rPr>
      <w:rFonts w:ascii="Arial" w:eastAsia="Times New Roman" w:hAnsi="Arial"/>
    </w:rPr>
  </w:style>
  <w:style w:type="paragraph" w:styleId="CommentSubject">
    <w:name w:val="annotation subject"/>
    <w:basedOn w:val="CommentText"/>
    <w:next w:val="CommentText"/>
    <w:link w:val="CommentSubjectChar"/>
    <w:semiHidden/>
    <w:unhideWhenUsed/>
    <w:rsid w:val="00FC3D7F"/>
    <w:rPr>
      <w:b/>
      <w:bCs/>
    </w:rPr>
  </w:style>
  <w:style w:type="character" w:customStyle="1" w:styleId="CommentSubjectChar">
    <w:name w:val="Comment Subject Char"/>
    <w:basedOn w:val="CommentTextChar"/>
    <w:link w:val="CommentSubject"/>
    <w:semiHidden/>
    <w:rsid w:val="00FC3D7F"/>
    <w:rPr>
      <w:rFonts w:ascii="Arial" w:eastAsia="Times New Roman" w:hAnsi="Arial"/>
      <w:b/>
      <w:bCs/>
    </w:rPr>
  </w:style>
  <w:style w:type="paragraph" w:styleId="BalloonText">
    <w:name w:val="Balloon Text"/>
    <w:basedOn w:val="Normal"/>
    <w:link w:val="BalloonTextChar"/>
    <w:semiHidden/>
    <w:unhideWhenUsed/>
    <w:rsid w:val="00FC3D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C3D7F"/>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356D1D"/>
    <w:rPr>
      <w:rFonts w:ascii="Arial" w:eastAsia="Times New Roman" w:hAnsi="Arial" w:cs="Arial"/>
      <w:b/>
      <w:bCs/>
      <w:color w:val="C63C1B"/>
      <w:kern w:val="32"/>
      <w:sz w:val="32"/>
      <w:szCs w:val="32"/>
      <w:lang w:eastAsia="en-AU"/>
    </w:rPr>
  </w:style>
  <w:style w:type="character" w:styleId="Emphasis">
    <w:name w:val="Emphasis"/>
    <w:basedOn w:val="DefaultParagraphFont"/>
    <w:qFormat/>
    <w:locked/>
    <w:rsid w:val="001F76DB"/>
    <w:rPr>
      <w:i/>
      <w:iCs/>
    </w:rPr>
  </w:style>
  <w:style w:type="paragraph" w:styleId="BodyText2">
    <w:name w:val="Body Text 2"/>
    <w:basedOn w:val="Normal"/>
    <w:link w:val="BodyText2Char"/>
    <w:rsid w:val="001F76DB"/>
    <w:pPr>
      <w:spacing w:after="120" w:line="480" w:lineRule="auto"/>
    </w:pPr>
  </w:style>
  <w:style w:type="character" w:customStyle="1" w:styleId="BodyText2Char">
    <w:name w:val="Body Text 2 Char"/>
    <w:basedOn w:val="DefaultParagraphFont"/>
    <w:link w:val="BodyText2"/>
    <w:rsid w:val="001F76DB"/>
    <w:rPr>
      <w:rFonts w:ascii="Arial" w:eastAsiaTheme="minorHAnsi" w:hAnsi="Arial" w:cstheme="minorBidi"/>
      <w:sz w:val="22"/>
      <w:szCs w:val="22"/>
    </w:rPr>
  </w:style>
  <w:style w:type="paragraph" w:styleId="PlainText">
    <w:name w:val="Plain Text"/>
    <w:basedOn w:val="Normal"/>
    <w:link w:val="PlainTextChar"/>
    <w:uiPriority w:val="99"/>
    <w:unhideWhenUsed/>
    <w:rsid w:val="001F76DB"/>
    <w:pPr>
      <w:spacing w:after="0" w:line="240" w:lineRule="auto"/>
      <w:jc w:val="left"/>
    </w:pPr>
    <w:rPr>
      <w:rFonts w:ascii="Calibri" w:hAnsi="Calibri"/>
      <w:szCs w:val="21"/>
    </w:rPr>
  </w:style>
  <w:style w:type="character" w:customStyle="1" w:styleId="PlainTextChar">
    <w:name w:val="Plain Text Char"/>
    <w:basedOn w:val="DefaultParagraphFont"/>
    <w:link w:val="PlainText"/>
    <w:uiPriority w:val="99"/>
    <w:rsid w:val="001F76DB"/>
    <w:rPr>
      <w:rFonts w:ascii="Calibri" w:eastAsiaTheme="minorHAnsi" w:hAnsi="Calibri" w:cstheme="minorBidi"/>
      <w:sz w:val="22"/>
      <w:szCs w:val="21"/>
    </w:rPr>
  </w:style>
  <w:style w:type="character" w:customStyle="1" w:styleId="normaltextrun1">
    <w:name w:val="normaltextrun1"/>
    <w:basedOn w:val="DefaultParagraphFont"/>
    <w:rsid w:val="001F7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image" Target="media/image2.jpg"/><Relationship Id="rId21" Type="http://schemas.openxmlformats.org/officeDocument/2006/relationships/customXml" Target="ink/ink4.xml"/><Relationship Id="rId34" Type="http://schemas.openxmlformats.org/officeDocument/2006/relationships/image" Target="media/image10.png"/><Relationship Id="rId42" Type="http://schemas.openxmlformats.org/officeDocument/2006/relationships/image" Target="media/image3.gif"/><Relationship Id="rId47" Type="http://schemas.openxmlformats.org/officeDocument/2006/relationships/image" Target="media/image5.jpeg"/><Relationship Id="rId50" Type="http://schemas.openxmlformats.org/officeDocument/2006/relationships/customXml" Target="ink/ink15.xml"/><Relationship Id="rId55" Type="http://schemas.openxmlformats.org/officeDocument/2006/relationships/image" Target="media/image22.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ustomXml" Target="ink/ink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mha.vic.gov.au/"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jpeg"/><Relationship Id="rId40" Type="http://schemas.openxmlformats.org/officeDocument/2006/relationships/customXml" Target="ink/ink12.xm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customXml" Target="ink/ink19.xml"/><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ustomXml" Target="ink/ink2.xml"/><Relationship Id="rId23" Type="http://schemas.openxmlformats.org/officeDocument/2006/relationships/customXml" Target="ink/ink5.xm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image" Target="media/image23.png"/><Relationship Id="rId61"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s://www.imha.vic.gov.au/know-your-rights/having-more-say-over-your-treatment/making-advance-statement" TargetMode="External"/><Relationship Id="rId31" Type="http://schemas.openxmlformats.org/officeDocument/2006/relationships/customXml" Target="ink/ink9.xml"/><Relationship Id="rId44" Type="http://schemas.openxmlformats.org/officeDocument/2006/relationships/customXml" Target="ink/ink13.xml"/><Relationship Id="rId52" Type="http://schemas.openxmlformats.org/officeDocument/2006/relationships/customXml" Target="ink/ink16.xml"/><Relationship Id="rId60" Type="http://schemas.openxmlformats.org/officeDocument/2006/relationships/image" Target="media/image6.gif"/><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customXml" Target="ink/ink7.xml"/><Relationship Id="rId30" Type="http://schemas.openxmlformats.org/officeDocument/2006/relationships/image" Target="media/image8.png"/><Relationship Id="rId35" Type="http://schemas.openxmlformats.org/officeDocument/2006/relationships/customXml" Target="ink/ink11.xml"/><Relationship Id="rId43" Type="http://schemas.openxmlformats.org/officeDocument/2006/relationships/image" Target="media/image4.jpg"/><Relationship Id="rId48" Type="http://schemas.openxmlformats.org/officeDocument/2006/relationships/customXml" Target="ink/ink14.xml"/><Relationship Id="rId56" Type="http://schemas.openxmlformats.org/officeDocument/2006/relationships/customXml" Target="ink/ink18.xm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s://www.imha.vic.gov.au/about-us/news/our-first-year" TargetMode="External"/><Relationship Id="rId17" Type="http://schemas.openxmlformats.org/officeDocument/2006/relationships/customXml" Target="ink/ink3.xml"/><Relationship Id="rId25" Type="http://schemas.openxmlformats.org/officeDocument/2006/relationships/customXml" Target="ink/ink6.xml"/><Relationship Id="rId33" Type="http://schemas.openxmlformats.org/officeDocument/2006/relationships/customXml" Target="ink/ink10.xml"/><Relationship Id="rId38" Type="http://schemas.openxmlformats.org/officeDocument/2006/relationships/hyperlink" Target="http://www.imha.vic.gov.au/about-us/our-consumer-advisory-group-speaking-from-experience" TargetMode="External"/><Relationship Id="rId46" Type="http://schemas.openxmlformats.org/officeDocument/2006/relationships/chart" Target="charts/chart1.xml"/><Relationship Id="rId59" Type="http://schemas.openxmlformats.org/officeDocument/2006/relationships/image" Target="media/image24.png"/><Relationship Id="rId67" Type="http://schemas.openxmlformats.org/officeDocument/2006/relationships/header" Target="header3.xml"/><Relationship Id="rId20" Type="http://schemas.openxmlformats.org/officeDocument/2006/relationships/hyperlink" Target="https://www.imha.vic.gov.au/know-your-rights/having-more-say-over-your-treatment/nominating-person-to-support-you" TargetMode="External"/><Relationship Id="rId41" Type="http://schemas.openxmlformats.org/officeDocument/2006/relationships/image" Target="media/image14.png"/><Relationship Id="rId54" Type="http://schemas.openxmlformats.org/officeDocument/2006/relationships/customXml" Target="ink/ink17.xml"/><Relationship Id="rId62" Type="http://schemas.openxmlformats.org/officeDocument/2006/relationships/image" Target="media/image8.jpeg"/><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DMHS and IMHA Allocations 2015-16 and 2016-17</a:t>
            </a:r>
          </a:p>
          <a:p>
            <a:pPr>
              <a:defRPr/>
            </a:pP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cat>
            <c:strRef>
              <c:f>Sheet1!$A$2:$A$17</c:f>
              <c:strCache>
                <c:ptCount val="16"/>
                <c:pt idx="0">
                  <c:v>Hume </c:v>
                </c:pt>
                <c:pt idx="1">
                  <c:v>Loddon Mallee </c:v>
                </c:pt>
                <c:pt idx="2">
                  <c:v>Grampians</c:v>
                </c:pt>
                <c:pt idx="3">
                  <c:v>Monash</c:v>
                </c:pt>
                <c:pt idx="4">
                  <c:v>Eastern</c:v>
                </c:pt>
                <c:pt idx="5">
                  <c:v>Latrobe</c:v>
                </c:pt>
                <c:pt idx="6">
                  <c:v>Peninsula</c:v>
                </c:pt>
                <c:pt idx="7">
                  <c:v>South West</c:v>
                </c:pt>
                <c:pt idx="8">
                  <c:v>Barwon</c:v>
                </c:pt>
                <c:pt idx="9">
                  <c:v>North Western</c:v>
                </c:pt>
                <c:pt idx="10">
                  <c:v>Werribee Mercy</c:v>
                </c:pt>
                <c:pt idx="11">
                  <c:v>Austin</c:v>
                </c:pt>
                <c:pt idx="12">
                  <c:v>Alfred</c:v>
                </c:pt>
                <c:pt idx="13">
                  <c:v>St Vincent</c:v>
                </c:pt>
                <c:pt idx="14">
                  <c:v>Thomas Embling</c:v>
                </c:pt>
                <c:pt idx="15">
                  <c:v>Royal Children's</c:v>
                </c:pt>
              </c:strCache>
            </c:strRef>
          </c:cat>
          <c:val>
            <c:numRef>
              <c:f>Sheet1!$B$2:$B$17</c:f>
              <c:numCache>
                <c:formatCode>General</c:formatCode>
                <c:ptCount val="16"/>
                <c:pt idx="0">
                  <c:v>11</c:v>
                </c:pt>
                <c:pt idx="1">
                  <c:v>43</c:v>
                </c:pt>
                <c:pt idx="2">
                  <c:v>50</c:v>
                </c:pt>
                <c:pt idx="3">
                  <c:v>157</c:v>
                </c:pt>
                <c:pt idx="4">
                  <c:v>184</c:v>
                </c:pt>
                <c:pt idx="5">
                  <c:v>28</c:v>
                </c:pt>
                <c:pt idx="6">
                  <c:v>37</c:v>
                </c:pt>
                <c:pt idx="7">
                  <c:v>25</c:v>
                </c:pt>
                <c:pt idx="8">
                  <c:v>28</c:v>
                </c:pt>
                <c:pt idx="9">
                  <c:v>251</c:v>
                </c:pt>
                <c:pt idx="10">
                  <c:v>31</c:v>
                </c:pt>
                <c:pt idx="11">
                  <c:v>58</c:v>
                </c:pt>
                <c:pt idx="12">
                  <c:v>80</c:v>
                </c:pt>
                <c:pt idx="13">
                  <c:v>45</c:v>
                </c:pt>
                <c:pt idx="14">
                  <c:v>29</c:v>
                </c:pt>
                <c:pt idx="15">
                  <c:v>3</c:v>
                </c:pt>
              </c:numCache>
            </c:numRef>
          </c:val>
          <c:extLst>
            <c:ext xmlns:c16="http://schemas.microsoft.com/office/drawing/2014/chart" uri="{C3380CC4-5D6E-409C-BE32-E72D297353CC}">
              <c16:uniqueId val="{00000000-6701-44DD-82D7-4F94908BFB06}"/>
            </c:ext>
          </c:extLst>
        </c:ser>
        <c:ser>
          <c:idx val="1"/>
          <c:order val="1"/>
          <c:spPr>
            <a:solidFill>
              <a:schemeClr val="accent5"/>
            </a:solidFill>
            <a:ln>
              <a:noFill/>
            </a:ln>
            <a:effectLst/>
          </c:spPr>
          <c:invertIfNegative val="0"/>
          <c:cat>
            <c:strRef>
              <c:f>Sheet1!$A$2:$A$17</c:f>
              <c:strCache>
                <c:ptCount val="16"/>
                <c:pt idx="0">
                  <c:v>Hume </c:v>
                </c:pt>
                <c:pt idx="1">
                  <c:v>Loddon Mallee </c:v>
                </c:pt>
                <c:pt idx="2">
                  <c:v>Grampians</c:v>
                </c:pt>
                <c:pt idx="3">
                  <c:v>Monash</c:v>
                </c:pt>
                <c:pt idx="4">
                  <c:v>Eastern</c:v>
                </c:pt>
                <c:pt idx="5">
                  <c:v>Latrobe</c:v>
                </c:pt>
                <c:pt idx="6">
                  <c:v>Peninsula</c:v>
                </c:pt>
                <c:pt idx="7">
                  <c:v>South West</c:v>
                </c:pt>
                <c:pt idx="8">
                  <c:v>Barwon</c:v>
                </c:pt>
                <c:pt idx="9">
                  <c:v>North Western</c:v>
                </c:pt>
                <c:pt idx="10">
                  <c:v>Werribee Mercy</c:v>
                </c:pt>
                <c:pt idx="11">
                  <c:v>Austin</c:v>
                </c:pt>
                <c:pt idx="12">
                  <c:v>Alfred</c:v>
                </c:pt>
                <c:pt idx="13">
                  <c:v>St Vincent</c:v>
                </c:pt>
                <c:pt idx="14">
                  <c:v>Thomas Embling</c:v>
                </c:pt>
                <c:pt idx="15">
                  <c:v>Royal Children's</c:v>
                </c:pt>
              </c:strCache>
            </c:strRef>
          </c:cat>
          <c:val>
            <c:numRef>
              <c:f>Sheet1!$C$2:$C$17</c:f>
              <c:numCache>
                <c:formatCode>General</c:formatCode>
                <c:ptCount val="16"/>
                <c:pt idx="0">
                  <c:v>32</c:v>
                </c:pt>
                <c:pt idx="1">
                  <c:v>41</c:v>
                </c:pt>
                <c:pt idx="2">
                  <c:v>37</c:v>
                </c:pt>
                <c:pt idx="3">
                  <c:v>116</c:v>
                </c:pt>
                <c:pt idx="4">
                  <c:v>107</c:v>
                </c:pt>
                <c:pt idx="5">
                  <c:v>23</c:v>
                </c:pt>
                <c:pt idx="6">
                  <c:v>28</c:v>
                </c:pt>
                <c:pt idx="7">
                  <c:v>7</c:v>
                </c:pt>
                <c:pt idx="8">
                  <c:v>39</c:v>
                </c:pt>
                <c:pt idx="9">
                  <c:v>154</c:v>
                </c:pt>
                <c:pt idx="10">
                  <c:v>30</c:v>
                </c:pt>
                <c:pt idx="11">
                  <c:v>37</c:v>
                </c:pt>
                <c:pt idx="12">
                  <c:v>70</c:v>
                </c:pt>
                <c:pt idx="13">
                  <c:v>41</c:v>
                </c:pt>
                <c:pt idx="14">
                  <c:v>47</c:v>
                </c:pt>
                <c:pt idx="15">
                  <c:v>0</c:v>
                </c:pt>
              </c:numCache>
            </c:numRef>
          </c:val>
          <c:extLst>
            <c:ext xmlns:c16="http://schemas.microsoft.com/office/drawing/2014/chart" uri="{C3380CC4-5D6E-409C-BE32-E72D297353CC}">
              <c16:uniqueId val="{00000001-6701-44DD-82D7-4F94908BFB06}"/>
            </c:ext>
          </c:extLst>
        </c:ser>
        <c:dLbls>
          <c:showLegendKey val="0"/>
          <c:showVal val="0"/>
          <c:showCatName val="0"/>
          <c:showSerName val="0"/>
          <c:showPercent val="0"/>
          <c:showBubbleSize val="0"/>
        </c:dLbls>
        <c:gapWidth val="182"/>
        <c:axId val="557541464"/>
        <c:axId val="557542448"/>
      </c:barChart>
      <c:catAx>
        <c:axId val="557541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542448"/>
        <c:crosses val="autoZero"/>
        <c:auto val="1"/>
        <c:lblAlgn val="ctr"/>
        <c:lblOffset val="100"/>
        <c:noMultiLvlLbl val="0"/>
      </c:catAx>
      <c:valAx>
        <c:axId val="557542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5414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14T08:23:32.199"/>
    </inkml:context>
    <inkml:brush xml:id="br0">
      <inkml:brushProperty name="width" value="0.03333" units="cm"/>
      <inkml:brushProperty name="height" value="0.03333" units="cm"/>
    </inkml:brush>
  </inkml:definitions>
  <inkml:trace contextRef="#ctx0" brushRef="#br0">7656 5158 1152,'0'0'512,"18"0"-384,-18 0 512,0 0-640,0 0 128,0 0 0,0 0 0,0 0-128,-18 0 0,18 0 256,0 0 0,0 0-128,0 0 128,0 0 0,0 0 128,0 0-256,0 0 128,0 0-128,0 0 0,0 0-128,0-16 128,0 16-128,0 0 128,0 0-128,0 0 0,0 0 0,0 0 128,0 0 0,0 0 0,0 0-128,0 0 128,0-18-128,0 18 128,0 0-128,0 0 128,0 0-128,0 0 128,-17 0-128,17 0 0,0 0 0,0 0 0,0 0 0,0 0 0,0 0 0,0 0 128,0 18-128,0-18 0,0 0 0,0 0 128,0 0-128,0 0 128,0 0-128,0 0 128,0 0-128,0 0 128,0 0-128,0 0 0,17 0 0,-17 0 128,0 0-128,0 0 0,0 0-128,18 0 0,-18 0-384,0 0 128,17 0-512,-17 16 128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1-26T11:20:03.863"/>
    </inkml:context>
    <inkml:brush xml:id="br0">
      <inkml:brushProperty name="width" value="0.03333" units="cm"/>
      <inkml:brushProperty name="height" value="0.03333" units="cm"/>
    </inkml:brush>
  </inkml:definitions>
  <inkml:trace contextRef="#ctx0" brushRef="#br0">7772 4208 512,'-30'0'256,"15"15"384,15-15 384,0 0-896,0 0 0,0 0-128,0 15 128,15-15-256,-15 0 128,0 15 128,0-15 0,0 0-256,0 0 128,0 0-128,0 0 0,0 0-256,15 0 128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1-26T11:20:00.098"/>
    </inkml:context>
    <inkml:brush xml:id="br0">
      <inkml:brushProperty name="width" value="0.03333" units="cm"/>
      <inkml:brushProperty name="height" value="0.03333" units="cm"/>
    </inkml:brush>
  </inkml:definitions>
  <inkml:trace contextRef="#ctx0" brushRef="#br0">7859 4304 512,'0'0'256,"-18"-35"256,18 52 384,0-17-768,0 0 0,-17 0 128,17 0 128,0 0-384,0 0 0,0 0 256,0 0 128,0 0-256,0 0 128,17 0-128,-17-17 0,18 17-256,0-18 0,-1 18-256,1-17 0,-18 17-128,17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13T04:42:46.011"/>
    </inkml:context>
    <inkml:brush xml:id="br0">
      <inkml:brushProperty name="width" value="0.03333" units="cm"/>
      <inkml:brushProperty name="height" value="0.03333" units="cm"/>
    </inkml:brush>
  </inkml:definitions>
  <inkml:trace contextRef="#ctx0" brushRef="#br0">3733 3665 1408,'-30'-13'640,"15"26"-256,15-13 640,0 0-896,0 0 0,0 0 0,0 0 128,0 0-512,0 0 128,0 0-128,15 0 128,-15 0-384,0 0 128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16T03:49:58.928"/>
    </inkml:context>
    <inkml:brush xml:id="br0">
      <inkml:brushProperty name="width" value="0.03333" units="cm"/>
      <inkml:brushProperty name="height" value="0.03333" units="cm"/>
    </inkml:brush>
  </inkml:definitions>
  <inkml:trace contextRef="#ctx0" brushRef="#br0">18442 1058 128,'0'-17'0,"18"17"1792,104-53-1792,-244 106 0,139-53 128,1 17-128,-1-17 0,-17 0-256,18-17 0,-1 17 0,1 0 128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14T08:24:54.742"/>
    </inkml:context>
    <inkml:brush xml:id="br0">
      <inkml:brushProperty name="width" value="0.03333" units="cm"/>
      <inkml:brushProperty name="height" value="0.03333" units="cm"/>
    </inkml:brush>
  </inkml:definitions>
  <inkml:trace contextRef="#ctx0" brushRef="#br0">12665 5187 768,'18'0'384,"-1"0"-256,-17 0 512,0 0-512,17 17 0,-17-17 128,0 0 128,0 0-512,0 0 128,0 18 256,0-18 0,0 0-128,0 18 0,0-18-512,0 17 128,0 1-128,-17-1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14T08:24:54.186"/>
    </inkml:context>
    <inkml:brush xml:id="br0">
      <inkml:brushProperty name="width" value="0.03333" units="cm"/>
      <inkml:brushProperty name="height" value="0.03333" units="cm"/>
    </inkml:brush>
  </inkml:definitions>
  <inkml:trace contextRef="#ctx0" brushRef="#br0">13141 5873 2432,'-17'-17'1152,"17"17"-1920,0 0 2688,0 0-1920,17 0 0,-17 0 0,0 0 0,18 0-128,-18 0 128,17 0-256,-17 0 128,18 0-256,-18 0 0,17 0-256,-17 0 128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14T08:24:53.214"/>
    </inkml:context>
    <inkml:brush xml:id="br0">
      <inkml:brushProperty name="width" value="0.03333" units="cm"/>
      <inkml:brushProperty name="height" value="0.03333" units="cm"/>
    </inkml:brush>
  </inkml:definitions>
  <inkml:trace contextRef="#ctx0" brushRef="#br0">15583 5865 1280,'0'-17'640,"0"34"-768,0-17 896,0 0-768,0 0 0,0 0 0,0 0 128,0 0-128,0 0 0,0 0 128,-17 0 128,17 0-128,0 0 128,0 0-128,0 0 0,0 0-128,-17 0 128,17 0-256,0 0 0,0 0-384,0 0 128,0-17-128,-18 17 128</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0-25T00:25:06.011"/>
    </inkml:context>
    <inkml:brush xml:id="br0">
      <inkml:brushProperty name="width" value="0.03333" units="cm"/>
      <inkml:brushProperty name="height" value="0.03333" units="cm"/>
    </inkml:brush>
  </inkml:definitions>
  <inkml:trace contextRef="#ctx0" brushRef="#br0">14719 5388 1024,'0'0'512,"0"0"0,0 0 640,0 0-896,0-17 0,0 17 0,0 0 0,0 0-512,-17 0 128,17 0 128,0 0 0,0 0-512,0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14T08:25:05.482"/>
    </inkml:context>
    <inkml:brush xml:id="br0">
      <inkml:brushProperty name="width" value="0.03333" units="cm"/>
      <inkml:brushProperty name="height" value="0.03333" units="cm"/>
    </inkml:brush>
  </inkml:definitions>
  <inkml:trace contextRef="#ctx0" brushRef="#br0">7346 6474 896,'-17'-17'384,"34"17"512,-17 0-128,0 0-768,0 0 128,0 0 0,0 0 128,0 0-256,0 0 0,0 17 128,-17-17 0,17 17-128,0-17 0,0 0-256,0 18 128,-17-18-384,17 0 128</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14T08:25:02.375"/>
    </inkml:context>
    <inkml:brush xml:id="br0">
      <inkml:brushProperty name="width" value="0.03333" units="cm"/>
      <inkml:brushProperty name="height" value="0.03333" units="cm"/>
    </inkml:brush>
  </inkml:definitions>
  <inkml:trace contextRef="#ctx0" brushRef="#br0">14809 6817 256,'0'0'128,"17"0"512,-17 0-256,0 0-128,0 0 0,0 0 128,0 0 128,0 0-640,0 0 128,0 0 384,18-17 0,-18 17-128,18 0 0,-18 0-128,0 0 128,0 0-128,0 0 0,0 0-128,0 0 0,17 0 0,-17 0 0,0 0-256,0 0 128,0 0-256,0 0 128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0-25T00:12:04.233"/>
    </inkml:context>
    <inkml:brush xml:id="br0">
      <inkml:brushProperty name="width" value="0.03333" units="cm"/>
      <inkml:brushProperty name="height" value="0.03333" units="cm"/>
    </inkml:brush>
  </inkml:definitions>
  <inkml:trace contextRef="#ctx0" brushRef="#br0">7435 5301 1280,'0'-35'640,"18"18"-640,-18 17 1152,0 0-1152,0 0 128,0 0 0,0 0 0,0 17-128,0-17 0,0 18 128,0-18 128,0 0-256,0 0 128,0 0 0,0 0 128,0 0-256,0 0 0,0 0 0,0 0 128,0 0-128,0 0 0,0 0-256,16 0 0,-16 0-256,0 17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10-25T00:12:04.234"/>
    </inkml:context>
    <inkml:brush xml:id="br0">
      <inkml:brushProperty name="width" value="0.03333" units="cm"/>
      <inkml:brushProperty name="height" value="0.03333" units="cm"/>
    </inkml:brush>
  </inkml:definitions>
  <inkml:trace contextRef="#ctx0" brushRef="#br0">7320 5213 768,'-17'18'384,"17"-53"256,0 35 384,0 0-896,0 0 0,0 0 128,0 0 0,-18 0-384,18 0 0,0 0 128,0 17 128,0-17-128,-17 0 0,17 18-384,0-18 0,0 0 0,0 17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1-26T11:03:54.798"/>
    </inkml:context>
    <inkml:brush xml:id="br0">
      <inkml:brushProperty name="width" value="0.03333" units="cm"/>
      <inkml:brushProperty name="height" value="0.03333" units="cm"/>
    </inkml:brush>
  </inkml:definitions>
  <inkml:trace contextRef="#ctx0" brushRef="#br0">6554 2836 1152,'0'-13'512,"0"26"-128,0-13 512,15 0-896,-15 0 128,0-13-128,0 13 128,15 0-256,-15 0 128,0 0-128,0 0 0,15 0-256,-15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1-26T11:20:14.348"/>
    </inkml:context>
    <inkml:brush xml:id="br0">
      <inkml:brushProperty name="width" value="0.03333" units="cm"/>
      <inkml:brushProperty name="height" value="0.03333" units="cm"/>
    </inkml:brush>
  </inkml:definitions>
  <inkml:trace contextRef="#ctx0" brushRef="#br0">8044 4287 1408,'0'0'640,"0"-27"256,0 27 640,0 0-1280,0 0 0,0 0 128,0 0 0,0 0-512,0 0 0,0 0 256,0 0 128,0 0-256,0 0 0,0 0-384,0 27 128,26-27-512,-26 26 128</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1-26T11:20:07.504"/>
    </inkml:context>
    <inkml:brush xml:id="br0">
      <inkml:brushProperty name="width" value="0.03333" units="cm"/>
      <inkml:brushProperty name="height" value="0.03333" units="cm"/>
    </inkml:brush>
  </inkml:definitions>
  <inkml:trace contextRef="#ctx0" brushRef="#br0">7894 4287 1664,'-18'0'768,"18"0"-512,0 0 1280,0 0-1280,0 0 0,18 0 128,-18 0 0,17 0-512,-17 0 0,18 0 384,-18 0 0,0 0-256,0 0 128,17 0-128,-17 0 128,17 0-384,1 0 0,-1-17-512,-17 34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1-26T11:20:07.051"/>
    </inkml:context>
    <inkml:brush xml:id="br0">
      <inkml:brushProperty name="width" value="0.03333" units="cm"/>
      <inkml:brushProperty name="height" value="0.03333" units="cm"/>
    </inkml:brush>
  </inkml:definitions>
  <inkml:trace contextRef="#ctx0" brushRef="#br0">7939 4322 1664,'0'0'768,"0"-18"-768,0 18 1152,0 0-1152,0 0 128,0 0 0,0 0 128,0 0-256,0 0 0,0 0 128,0-17 0,0 17-128,0-18 128,0 18-128,0-17 128,0 17-128,0 0 0,0 0-256,0 0 0,17 0-384,-17 0 128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1-26T11:20:06.129"/>
    </inkml:context>
    <inkml:brush xml:id="br0">
      <inkml:brushProperty name="width" value="0.03333" units="cm"/>
      <inkml:brushProperty name="height" value="0.03333" units="cm"/>
    </inkml:brush>
  </inkml:definitions>
  <inkml:trace contextRef="#ctx0" brushRef="#br0">7884 4181 1408,'-18'18'640,"18"-1"128,0-17 640,0 18-1280,0-1 0,0 18 256,-17-18 0,17-17-384,-17 18 0,17-1 384,-18 1 0,18-18-128,0 0 128,0 0-128,0 0 0,0 0-256,0-18 128,0 18-512,0 0 128,18 0-512,-1 0 128,0 0-256,1 18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1-26T11:20:04.473"/>
    </inkml:context>
    <inkml:brush xml:id="br0">
      <inkml:brushProperty name="width" value="0.03333" units="cm"/>
      <inkml:brushProperty name="height" value="0.03333" units="cm"/>
    </inkml:brush>
  </inkml:definitions>
  <inkml:trace contextRef="#ctx0" brushRef="#br0">7868 4295 1664,'0'0'768,"0"0"-896,0 0 1536,0 0-1536,0 0 128,0 0 0,0 0 0,0 0 0,0 0 0,0 0 0,0 0 0,0 0-256,0 0 128,0 0-256,26 0 0</inkml:trace>
</inkml:ink>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lank Document" ma:contentTypeID="0x0101000CE563F8111D9B40AD48BC31ABC2E20D00A5B8577A5F418147B51706CD4565A819" ma:contentTypeVersion="9" ma:contentTypeDescription="" ma:contentTypeScope="" ma:versionID="2a35aaf8cdff8adcea68caca62d02288">
  <xsd:schema xmlns:xsd="http://www.w3.org/2001/XMLSchema" xmlns:xs="http://www.w3.org/2001/XMLSchema" xmlns:p="http://schemas.microsoft.com/office/2006/metadata/properties" xmlns:ns2="51b6e2eb-ecd6-448c-a4e4-4d85f568c96a" targetNamespace="http://schemas.microsoft.com/office/2006/metadata/properties" ma:root="true" ma:fieldsID="b9f1f0a62e5ad8e5af1802a76067a224" ns2:_="">
    <xsd:import namespace="51b6e2eb-ecd6-448c-a4e4-4d85f568c9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b6e2eb-ecd6-448c-a4e4-4d85f568c96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73459-8ADF-460B-A294-D3AF3DD27123}">
  <ds:schemaRefs>
    <ds:schemaRef ds:uri="http://schemas.microsoft.com/sharepoint/v3/contenttype/forms"/>
  </ds:schemaRefs>
</ds:datastoreItem>
</file>

<file path=customXml/itemProps2.xml><?xml version="1.0" encoding="utf-8"?>
<ds:datastoreItem xmlns:ds="http://schemas.openxmlformats.org/officeDocument/2006/customXml" ds:itemID="{95089B86-C685-4FEA-9C95-CB47E80EB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b6e2eb-ecd6-448c-a4e4-4d85f568c9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12F2C0-704F-4B95-96CC-F25E7A1FA6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6AE932-DD73-43BD-A725-0D69BE0D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1965</Words>
  <Characters>11206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Factsheet</vt:lpstr>
    </vt:vector>
  </TitlesOfParts>
  <Manager/>
  <Company>IMHA</Company>
  <LinksUpToDate>false</LinksUpToDate>
  <CharactersWithSpaces>13145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dc:title>
  <dc:subject/>
  <dc:creator>Kirsty Lauchland</dc:creator>
  <cp:keywords/>
  <dc:description/>
  <cp:lastModifiedBy/>
  <cp:revision>1</cp:revision>
  <dcterms:created xsi:type="dcterms:W3CDTF">2021-04-27T23:58:00Z</dcterms:created>
  <dcterms:modified xsi:type="dcterms:W3CDTF">2021-04-27T23:58:00Z</dcterms:modified>
  <cp:category/>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ContentTypeId">
    <vt:lpwstr>0x0101000CE563F8111D9B40AD48BC31ABC2E20D00A5B8577A5F418147B51706CD4565A819</vt:lpwstr>
  </op:property>
  <op:property fmtid="{D5CDD505-2E9C-101B-9397-08002B2CF9AE}" pid="4" name="Function">
    <vt:lpwstr>58;#Mental Health Advocacy|ce43bc44-1767-4402-a516-235ef5372288</vt:lpwstr>
  </op:property>
  <op:property fmtid="{D5CDD505-2E9C-101B-9397-08002B2CF9AE}" pid="5" name="k85b50b034274bb086b1881f82103455">
    <vt:lpwstr>Client Service|76e950d3-db5e-41a3-a499-27ff3856a45b</vt:lpwstr>
  </op:property>
  <op:property fmtid="{D5CDD505-2E9C-101B-9397-08002B2CF9AE}" pid="6" name="TaxCatchAll">
    <vt:lpwstr>58;#Mental Health Advocacy|ce43bc44-1767-4402-a516-235ef5372288;#57;#Client Service|76e950d3-db5e-41a3-a499-27ff3856a45b</vt:lpwstr>
  </op:property>
  <op:property fmtid="{D5CDD505-2E9C-101B-9397-08002B2CF9AE}" pid="7" name="g0e08bd3800f4789a2eb49265723c930">
    <vt:lpwstr>Mental Health Advocacy|ce43bc44-1767-4402-a516-235ef5372288</vt:lpwstr>
  </op:property>
  <op:property fmtid="{D5CDD505-2E9C-101B-9397-08002B2CF9AE}" pid="8" name="Activity">
    <vt:lpwstr>57;#Client Service|76e950d3-db5e-41a3-a499-27ff3856a45b</vt:lpwstr>
  </op:property>
  <op:property fmtid="{D5CDD505-2E9C-101B-9397-08002B2CF9AE}" pid="9" name="_MarkAsFinal">
    <vt:bool>true</vt:bool>
  </op:property>
</op:Properties>
</file>